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65298" w14:textId="77777777" w:rsidR="00C61547" w:rsidRDefault="00C61547" w:rsidP="00106C6F">
      <w:pPr>
        <w:tabs>
          <w:tab w:val="center" w:pos="4153"/>
          <w:tab w:val="right" w:pos="8306"/>
        </w:tabs>
        <w:spacing w:line="276" w:lineRule="auto"/>
        <w:jc w:val="center"/>
        <w:rPr>
          <w:sz w:val="18"/>
          <w:szCs w:val="18"/>
        </w:rPr>
      </w:pPr>
    </w:p>
    <w:p w14:paraId="64FB7DF0" w14:textId="77777777" w:rsidR="00C61547" w:rsidRDefault="00106C6F">
      <w:pPr>
        <w:jc w:val="center"/>
        <w:rPr>
          <w:lang w:eastAsia="lt-LT"/>
        </w:rPr>
      </w:pPr>
      <w:r>
        <w:rPr>
          <w:rFonts w:ascii="Arial" w:hAnsi="Arial" w:cs="Arial"/>
          <w:noProof/>
          <w:lang w:eastAsia="lt-LT"/>
        </w:rPr>
        <w:drawing>
          <wp:inline distT="0" distB="0" distL="0" distR="0" wp14:anchorId="70B2746E" wp14:editId="09299B72">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1F1B4F9C" w14:textId="77777777" w:rsidR="00C61547" w:rsidRDefault="00C61547">
      <w:pPr>
        <w:rPr>
          <w:sz w:val="10"/>
          <w:szCs w:val="10"/>
        </w:rPr>
      </w:pPr>
    </w:p>
    <w:p w14:paraId="75C9CAF7" w14:textId="77777777" w:rsidR="00C61547" w:rsidRDefault="00106C6F">
      <w:pPr>
        <w:keepNext/>
        <w:jc w:val="center"/>
        <w:rPr>
          <w:rFonts w:ascii="Arial" w:hAnsi="Arial" w:cs="Arial"/>
          <w:caps/>
          <w:sz w:val="36"/>
          <w:lang w:eastAsia="lt-LT"/>
        </w:rPr>
      </w:pPr>
      <w:r>
        <w:rPr>
          <w:rFonts w:ascii="Arial" w:hAnsi="Arial" w:cs="Arial"/>
          <w:caps/>
          <w:sz w:val="36"/>
          <w:lang w:eastAsia="lt-LT"/>
        </w:rPr>
        <w:t>Lietuvos Respublikos Vyriausybė</w:t>
      </w:r>
    </w:p>
    <w:p w14:paraId="597C67E1" w14:textId="77777777" w:rsidR="00C61547" w:rsidRDefault="00C61547">
      <w:pPr>
        <w:jc w:val="center"/>
        <w:rPr>
          <w:caps/>
          <w:lang w:eastAsia="lt-LT"/>
        </w:rPr>
      </w:pPr>
    </w:p>
    <w:p w14:paraId="14AA1036" w14:textId="77777777" w:rsidR="00C61547" w:rsidRDefault="00106C6F">
      <w:pPr>
        <w:jc w:val="center"/>
        <w:rPr>
          <w:b/>
          <w:caps/>
          <w:lang w:eastAsia="lt-LT"/>
        </w:rPr>
      </w:pPr>
      <w:r>
        <w:rPr>
          <w:b/>
          <w:caps/>
          <w:lang w:eastAsia="lt-LT"/>
        </w:rPr>
        <w:t>nutarimas</w:t>
      </w:r>
    </w:p>
    <w:p w14:paraId="5B3CA98E" w14:textId="77777777" w:rsidR="00C61547" w:rsidRDefault="00106C6F">
      <w:pPr>
        <w:jc w:val="center"/>
        <w:rPr>
          <w:b/>
          <w:szCs w:val="24"/>
          <w:lang w:eastAsia="lt-LT"/>
        </w:rPr>
      </w:pPr>
      <w:r>
        <w:rPr>
          <w:b/>
          <w:caps/>
          <w:lang w:eastAsia="lt-LT"/>
        </w:rPr>
        <w:t xml:space="preserve">DĖL </w:t>
      </w:r>
      <w:r>
        <w:rPr>
          <w:b/>
          <w:bCs/>
          <w:lang w:eastAsia="lt-LT"/>
        </w:rPr>
        <w:t>LIETUVOS RESPUBLIKOS VYRIAUSYBĖS 2015 M. BALANDŽIO 15 D. NUTARIMO NR. 390 „DĖL BUTŲ IR KITŲ PATALPŲ SAVININKŲ LĖŠŲ, SKIRIAMŲ NAMUI (STATINIUI) ATNAUJINTI PAGAL PRIVALOMUOSIUS STATINIŲ NAUDOJIMO IR PRIEŽIŪROS REIKALAVIMUS, KAUPIMO, DYDŽIO APSKAIČIAVIMO IR SUKAUPTŲ LĖŠŲ APSAUGOS TVARKOS APRAŠO PATVIRTINIMO“ PAKEITIMO</w:t>
      </w:r>
    </w:p>
    <w:p w14:paraId="4141806E" w14:textId="77777777" w:rsidR="00C61547" w:rsidRDefault="00C61547">
      <w:pPr>
        <w:tabs>
          <w:tab w:val="center" w:pos="4153"/>
          <w:tab w:val="right" w:pos="8306"/>
        </w:tabs>
        <w:rPr>
          <w:lang w:eastAsia="lt-LT"/>
        </w:rPr>
      </w:pPr>
    </w:p>
    <w:p w14:paraId="08E8DF9F" w14:textId="77777777" w:rsidR="00C61547" w:rsidRDefault="00106C6F">
      <w:pPr>
        <w:ind w:firstLine="62"/>
        <w:jc w:val="center"/>
        <w:rPr>
          <w:lang w:eastAsia="lt-LT"/>
        </w:rPr>
      </w:pPr>
      <w:r>
        <w:rPr>
          <w:lang w:eastAsia="lt-LT"/>
        </w:rPr>
        <w:t>2025 m. gegužės 7 d. Nr. 278</w:t>
      </w:r>
    </w:p>
    <w:p w14:paraId="68D77A33" w14:textId="77777777" w:rsidR="00C61547" w:rsidRDefault="00106C6F">
      <w:pPr>
        <w:jc w:val="center"/>
        <w:rPr>
          <w:lang w:eastAsia="lt-LT"/>
        </w:rPr>
      </w:pPr>
      <w:r>
        <w:rPr>
          <w:lang w:eastAsia="lt-LT"/>
        </w:rPr>
        <w:t>Vilnius</w:t>
      </w:r>
    </w:p>
    <w:p w14:paraId="2D77F382" w14:textId="77777777" w:rsidR="00C61547" w:rsidRDefault="00C61547">
      <w:pPr>
        <w:jc w:val="center"/>
        <w:rPr>
          <w:lang w:eastAsia="lt-LT"/>
        </w:rPr>
      </w:pPr>
    </w:p>
    <w:p w14:paraId="6DC59B2A" w14:textId="77777777" w:rsidR="00106C6F" w:rsidRDefault="00106C6F">
      <w:pPr>
        <w:jc w:val="center"/>
        <w:rPr>
          <w:lang w:eastAsia="lt-LT"/>
        </w:rPr>
      </w:pPr>
    </w:p>
    <w:p w14:paraId="50DE8B66" w14:textId="77777777" w:rsidR="00C61547" w:rsidRDefault="00106C6F">
      <w:pPr>
        <w:spacing w:line="360" w:lineRule="atLeast"/>
        <w:ind w:firstLine="720"/>
        <w:jc w:val="both"/>
        <w:rPr>
          <w:szCs w:val="24"/>
          <w:lang w:eastAsia="lt-LT"/>
        </w:rPr>
      </w:pPr>
      <w:r>
        <w:rPr>
          <w:szCs w:val="24"/>
          <w:lang w:eastAsia="lt-LT"/>
        </w:rPr>
        <w:t>Lietuvos Respublikos Vyriausybė</w:t>
      </w:r>
      <w:r>
        <w:rPr>
          <w:spacing w:val="100"/>
          <w:szCs w:val="24"/>
          <w:lang w:eastAsia="lt-LT"/>
        </w:rPr>
        <w:t xml:space="preserve"> nutari</w:t>
      </w:r>
      <w:r>
        <w:rPr>
          <w:szCs w:val="24"/>
          <w:lang w:eastAsia="lt-LT"/>
        </w:rPr>
        <w:t>a:</w:t>
      </w:r>
    </w:p>
    <w:p w14:paraId="0496ACB0" w14:textId="77777777" w:rsidR="00C61547" w:rsidRDefault="00106C6F">
      <w:pPr>
        <w:tabs>
          <w:tab w:val="left" w:pos="1134"/>
        </w:tabs>
        <w:spacing w:line="360" w:lineRule="atLeast"/>
        <w:ind w:firstLine="720"/>
        <w:jc w:val="both"/>
        <w:rPr>
          <w:lang w:eastAsia="lt-LT"/>
        </w:rPr>
      </w:pPr>
      <w:r>
        <w:rPr>
          <w:lang w:eastAsia="lt-LT"/>
        </w:rPr>
        <w:t>1.</w:t>
      </w:r>
      <w:r>
        <w:rPr>
          <w:lang w:eastAsia="lt-LT"/>
        </w:rPr>
        <w:tab/>
        <w:t>Pakeisti Lietuvos Respublikos Vyriausybės 2015 m. balandžio 15 d. nutarimą Nr. 390 „Dėl Butų ir kitų patalpų savininkų lėšų, skiriamų namui (statiniui) atnaujinti pagal privalomuosius statinių naudojimo ir priežiūros reikalavimus, kaupimo, dydžio apskaičiavimo ir sukauptų lėšų apsaugos tvarkos aprašo patvirtinimo“:</w:t>
      </w:r>
    </w:p>
    <w:p w14:paraId="236B8D3E" w14:textId="77777777" w:rsidR="00C61547" w:rsidRDefault="00106C6F">
      <w:pPr>
        <w:tabs>
          <w:tab w:val="left" w:pos="1134"/>
        </w:tabs>
        <w:spacing w:line="360" w:lineRule="atLeast"/>
        <w:ind w:firstLine="720"/>
        <w:jc w:val="both"/>
        <w:rPr>
          <w:lang w:eastAsia="lt-LT"/>
        </w:rPr>
      </w:pPr>
      <w:r>
        <w:rPr>
          <w:lang w:eastAsia="lt-LT"/>
        </w:rPr>
        <w:t>1.1. Pakeisti nurodytą nutarimą ir jį išdėstyti nauja redakcija:</w:t>
      </w:r>
    </w:p>
    <w:p w14:paraId="70164AED" w14:textId="77777777" w:rsidR="00C61547" w:rsidRDefault="00C61547">
      <w:pPr>
        <w:tabs>
          <w:tab w:val="left" w:pos="1134"/>
        </w:tabs>
        <w:ind w:firstLine="720"/>
        <w:jc w:val="both"/>
        <w:rPr>
          <w:lang w:eastAsia="lt-LT"/>
        </w:rPr>
      </w:pPr>
    </w:p>
    <w:p w14:paraId="22456A46" w14:textId="77777777" w:rsidR="00C61547" w:rsidRDefault="00106C6F">
      <w:pPr>
        <w:spacing w:line="276" w:lineRule="auto"/>
        <w:jc w:val="center"/>
        <w:rPr>
          <w:b/>
          <w:lang w:eastAsia="lt-LT"/>
        </w:rPr>
      </w:pPr>
      <w:r>
        <w:rPr>
          <w:b/>
          <w:bCs/>
          <w:lang w:eastAsia="lt-LT"/>
        </w:rPr>
        <w:t>„</w:t>
      </w:r>
      <w:r>
        <w:rPr>
          <w:b/>
          <w:lang w:eastAsia="lt-LT"/>
        </w:rPr>
        <w:t>LIETUVOS RESPUBLIKOS VYRIAUSYBĖ</w:t>
      </w:r>
    </w:p>
    <w:p w14:paraId="5C0AC2CA" w14:textId="77777777" w:rsidR="00C61547" w:rsidRDefault="00C61547">
      <w:pPr>
        <w:spacing w:line="276" w:lineRule="auto"/>
        <w:jc w:val="center"/>
        <w:rPr>
          <w:b/>
          <w:lang w:eastAsia="lt-LT"/>
        </w:rPr>
      </w:pPr>
    </w:p>
    <w:p w14:paraId="23DFA48A" w14:textId="77777777" w:rsidR="00C61547" w:rsidRDefault="00106C6F">
      <w:pPr>
        <w:jc w:val="center"/>
        <w:rPr>
          <w:b/>
          <w:lang w:eastAsia="lt-LT"/>
        </w:rPr>
      </w:pPr>
      <w:r>
        <w:rPr>
          <w:b/>
          <w:lang w:eastAsia="lt-LT"/>
        </w:rPr>
        <w:t>NUTARIMAS</w:t>
      </w:r>
    </w:p>
    <w:p w14:paraId="55B7FDDA" w14:textId="77777777" w:rsidR="00C61547" w:rsidRDefault="00106C6F">
      <w:pPr>
        <w:jc w:val="center"/>
        <w:rPr>
          <w:b/>
          <w:bCs/>
          <w:lang w:eastAsia="lt-LT"/>
        </w:rPr>
      </w:pPr>
      <w:r>
        <w:rPr>
          <w:b/>
          <w:bCs/>
          <w:lang w:eastAsia="lt-LT"/>
        </w:rPr>
        <w:t>DĖL DAUGIABUČIO NAMO</w:t>
      </w:r>
      <w:r>
        <w:rPr>
          <w:lang w:eastAsia="lt-LT"/>
        </w:rPr>
        <w:t xml:space="preserve"> </w:t>
      </w:r>
      <w:r>
        <w:rPr>
          <w:b/>
          <w:bCs/>
          <w:lang w:eastAsia="lt-LT"/>
        </w:rPr>
        <w:t>BUTŲ IR KITŲ PATALPŲ SAVININKŲ LĖŠŲ, SKIRIAMŲ NAMUI (STATINIUI) ATNAUJINTI PAGAL PRIVALOMUOSIUS STATINIŲ NAUDOJIMO IR PRIEŽIŪROS REIKALAVIMUS, KAUPIMO, DYDŽIO</w:t>
      </w:r>
      <w:r>
        <w:rPr>
          <w:b/>
          <w:bCs/>
          <w:i/>
          <w:iCs/>
          <w:lang w:eastAsia="lt-LT"/>
        </w:rPr>
        <w:t xml:space="preserve"> </w:t>
      </w:r>
      <w:r>
        <w:rPr>
          <w:b/>
          <w:bCs/>
          <w:lang w:eastAsia="lt-LT"/>
        </w:rPr>
        <w:t>APSKAIČIAVIMO IR SUKAUPTŲ LĖŠŲ APSAUGOS TVARKOS APRAŠO PATVIRTINIMO</w:t>
      </w:r>
    </w:p>
    <w:p w14:paraId="0E92651F" w14:textId="77777777" w:rsidR="00C61547" w:rsidRDefault="00C61547">
      <w:pPr>
        <w:tabs>
          <w:tab w:val="center" w:pos="-7800"/>
          <w:tab w:val="left" w:pos="6237"/>
          <w:tab w:val="right" w:pos="8306"/>
        </w:tabs>
        <w:spacing w:line="276" w:lineRule="auto"/>
        <w:jc w:val="center"/>
        <w:rPr>
          <w:lang w:eastAsia="lt-LT"/>
        </w:rPr>
      </w:pPr>
    </w:p>
    <w:p w14:paraId="213E1055" w14:textId="77777777" w:rsidR="00C61547" w:rsidRDefault="00106C6F">
      <w:pPr>
        <w:spacing w:line="360" w:lineRule="atLeast"/>
        <w:ind w:firstLine="720"/>
        <w:jc w:val="both"/>
        <w:rPr>
          <w:lang w:eastAsia="lt-LT"/>
        </w:rPr>
      </w:pPr>
      <w:r>
        <w:rPr>
          <w:lang w:eastAsia="lt-LT"/>
        </w:rPr>
        <w:t xml:space="preserve">Vadovaudamasi Lietuvos Respublikos civilinio kodekso 4.82 straipsnio 4 dalimi, Lietuvos Respublikos Vyriausybė </w:t>
      </w:r>
      <w:r>
        <w:rPr>
          <w:spacing w:val="100"/>
          <w:szCs w:val="24"/>
          <w:lang w:eastAsia="lt-LT"/>
        </w:rPr>
        <w:t>nutari</w:t>
      </w:r>
      <w:r>
        <w:rPr>
          <w:szCs w:val="24"/>
          <w:lang w:eastAsia="lt-LT"/>
        </w:rPr>
        <w:t>a</w:t>
      </w:r>
      <w:r>
        <w:rPr>
          <w:lang w:eastAsia="lt-LT"/>
        </w:rPr>
        <w:t>:</w:t>
      </w:r>
    </w:p>
    <w:p w14:paraId="65055DF3" w14:textId="77777777" w:rsidR="00C61547" w:rsidRDefault="00106C6F">
      <w:pPr>
        <w:spacing w:line="360" w:lineRule="atLeast"/>
        <w:ind w:firstLine="720"/>
        <w:jc w:val="both"/>
        <w:rPr>
          <w:lang w:eastAsia="lt-LT"/>
        </w:rPr>
      </w:pPr>
      <w:r>
        <w:rPr>
          <w:lang w:eastAsia="lt-LT"/>
        </w:rPr>
        <w:t>Patvirtinti Daugiabučio namo butų ir kitų patalpų savininkų lėšų,</w:t>
      </w:r>
      <w:r>
        <w:rPr>
          <w:lang w:val="lt" w:eastAsia="lt-LT"/>
        </w:rPr>
        <w:t xml:space="preserve"> skiriamų namui (statiniui) atnaujinti pagal privalomuosius statinių naudojimo ir priežiūros reikalavimus,</w:t>
      </w:r>
      <w:r>
        <w:rPr>
          <w:lang w:eastAsia="lt-LT"/>
        </w:rPr>
        <w:t xml:space="preserve"> kaupimo, dydžio apskaičiavimo ir sukauptų lėšų apsaugos tvarkos aprašą (pridedama).“</w:t>
      </w:r>
    </w:p>
    <w:p w14:paraId="19F221A6" w14:textId="77777777" w:rsidR="00C61547" w:rsidRDefault="00106C6F">
      <w:pPr>
        <w:spacing w:line="360" w:lineRule="atLeast"/>
        <w:ind w:firstLine="720"/>
        <w:jc w:val="both"/>
        <w:rPr>
          <w:lang w:eastAsia="lt-LT"/>
        </w:rPr>
      </w:pPr>
      <w:r>
        <w:rPr>
          <w:lang w:eastAsia="lt-LT"/>
        </w:rPr>
        <w:t>1.2. Pakeisti šio nutarimo 1.1 papunktyje nauja redakcija išdėstytu nutarimu patvirtintą Daugiabučio namo butų ir kitų patalpų savininkų lėšų, skiriamų namui (statiniui) atnaujinti pagal privalomuosius statinių naudojimo ir priežiūros reikalavimus, kaupimo, dydžio apskaičiavimo ir sukauptų lėšų apsaugos tvarkos aprašą ir papildyti II skyrių 10</w:t>
      </w:r>
      <w:r>
        <w:rPr>
          <w:vertAlign w:val="superscript"/>
          <w:lang w:eastAsia="lt-LT"/>
        </w:rPr>
        <w:t>1</w:t>
      </w:r>
      <w:r>
        <w:rPr>
          <w:lang w:eastAsia="lt-LT"/>
        </w:rPr>
        <w:t xml:space="preserve"> punktu:</w:t>
      </w:r>
    </w:p>
    <w:p w14:paraId="7901A622" w14:textId="77777777" w:rsidR="00C61547" w:rsidRDefault="00106C6F">
      <w:pPr>
        <w:spacing w:line="360" w:lineRule="atLeast"/>
        <w:ind w:firstLine="720"/>
        <w:jc w:val="both"/>
        <w:rPr>
          <w:lang w:eastAsia="lt-LT"/>
        </w:rPr>
      </w:pPr>
      <w:r>
        <w:rPr>
          <w:lang w:eastAsia="lt-LT"/>
        </w:rPr>
        <w:t>„10</w:t>
      </w:r>
      <w:r>
        <w:rPr>
          <w:vertAlign w:val="superscript"/>
          <w:lang w:eastAsia="lt-LT"/>
        </w:rPr>
        <w:t>1</w:t>
      </w:r>
      <w:r>
        <w:rPr>
          <w:lang w:eastAsia="lt-LT"/>
        </w:rPr>
        <w:t xml:space="preserve">. Kai ilgalaikis planas nepatvirtintas ar patvirtintas ir įgyvendintas, atsižvelgus į nustatytus ir statinio ekspertizės akte ar Pastatų duomenų banko informacinės sistemos pastato elektroniniame techninės priežiūros žurnale pažymėtus privalomųjų reikalavimų neatitikimus, </w:t>
      </w:r>
      <w:r>
        <w:rPr>
          <w:lang w:eastAsia="lt-LT"/>
        </w:rPr>
        <w:lastRenderedPageBreak/>
        <w:t xml:space="preserve">pagal Aprašo 10.1 ar 10.2 papunktį </w:t>
      </w:r>
      <w:r>
        <w:rPr>
          <w:rFonts w:eastAsia="Calibri"/>
          <w:lang w:eastAsia="lt-LT"/>
        </w:rPr>
        <w:t>apskaičiuotas a</w:t>
      </w:r>
      <w:r>
        <w:rPr>
          <w:lang w:eastAsia="lt-LT"/>
        </w:rPr>
        <w:t xml:space="preserve">rba pagal Aprašo 10.3 papunktį nustatytas </w:t>
      </w:r>
      <w:r>
        <w:rPr>
          <w:rFonts w:eastAsia="Calibri"/>
          <w:lang w:eastAsia="lt-LT"/>
        </w:rPr>
        <w:t xml:space="preserve">mėnesinės kaupiamosios įmokos tarifas </w:t>
      </w:r>
      <w:r>
        <w:rPr>
          <w:lang w:eastAsia="lt-LT"/>
        </w:rPr>
        <w:t xml:space="preserve">padidinamas tiek kartų, kokia nustatyta pastato techninė būklė: būklė gera – 1, būklė patenkinama arba vidutinė – 2, būklė bloga – 3, būklė labai bloga ir būklė kritinė – 4, neviršijant </w:t>
      </w:r>
      <w:r>
        <w:rPr>
          <w:rFonts w:eastAsia="Calibri"/>
          <w:lang w:eastAsia="lt-LT"/>
        </w:rPr>
        <w:t xml:space="preserve">pagal Aprašo 7 punktą </w:t>
      </w:r>
      <w:r>
        <w:rPr>
          <w:lang w:eastAsia="lt-LT"/>
        </w:rPr>
        <w:t>apskaičiuoto m</w:t>
      </w:r>
      <w:r>
        <w:rPr>
          <w:rFonts w:eastAsia="Calibri"/>
          <w:lang w:eastAsia="lt-LT"/>
        </w:rPr>
        <w:t>aksimalaus mėnesinės kaupiamosios įmokos tarifo</w:t>
      </w:r>
      <w:r>
        <w:rPr>
          <w:lang w:eastAsia="lt-LT"/>
        </w:rPr>
        <w:t>. Šį mėnesinės kaupiamosios įmokos</w:t>
      </w:r>
      <w:r>
        <w:rPr>
          <w:rFonts w:eastAsia="Calibri"/>
          <w:lang w:eastAsia="lt-LT"/>
        </w:rPr>
        <w:t xml:space="preserve"> tarifą privaloma pakeisti (padidinti ar sumažinti) nuo kito mėnesio pradžios, kai </w:t>
      </w:r>
      <w:r>
        <w:rPr>
          <w:lang w:eastAsia="lt-LT"/>
        </w:rPr>
        <w:t xml:space="preserve">statinio ekspertizės akte ar </w:t>
      </w:r>
      <w:r>
        <w:rPr>
          <w:rFonts w:eastAsia="Calibri"/>
          <w:lang w:eastAsia="lt-LT"/>
        </w:rPr>
        <w:t>Pastatų duomenų banko informacinės sistemos pastato elektroniniame techninės priežiūros žurnale pastato techninė būklė pasikeičia.</w:t>
      </w:r>
      <w:r>
        <w:rPr>
          <w:lang w:eastAsia="lt-LT"/>
        </w:rPr>
        <w:t xml:space="preserve">“ </w:t>
      </w:r>
    </w:p>
    <w:p w14:paraId="4F4F5578" w14:textId="77777777" w:rsidR="00C61547" w:rsidRDefault="00106C6F">
      <w:pPr>
        <w:widowControl w:val="0"/>
        <w:tabs>
          <w:tab w:val="left" w:pos="1134"/>
        </w:tabs>
        <w:spacing w:line="360" w:lineRule="atLeast"/>
        <w:ind w:firstLine="720"/>
        <w:jc w:val="both"/>
        <w:rPr>
          <w:lang w:val="lt" w:eastAsia="lt-LT"/>
        </w:rPr>
      </w:pPr>
      <w:r>
        <w:rPr>
          <w:lang w:val="lt" w:eastAsia="lt-LT"/>
        </w:rPr>
        <w:t>2.</w:t>
      </w:r>
      <w:r>
        <w:rPr>
          <w:lang w:eastAsia="lt-LT"/>
        </w:rPr>
        <w:tab/>
      </w:r>
      <w:r>
        <w:rPr>
          <w:lang w:val="lt" w:eastAsia="lt-LT"/>
        </w:rPr>
        <w:t>Nustatyti, kad:</w:t>
      </w:r>
    </w:p>
    <w:p w14:paraId="318EC4D2" w14:textId="77777777" w:rsidR="00C61547" w:rsidRDefault="00106C6F">
      <w:pPr>
        <w:widowControl w:val="0"/>
        <w:tabs>
          <w:tab w:val="left" w:pos="1134"/>
        </w:tabs>
        <w:spacing w:line="360" w:lineRule="atLeast"/>
        <w:ind w:firstLine="720"/>
        <w:jc w:val="both"/>
        <w:rPr>
          <w:lang w:val="lt" w:eastAsia="lt-LT"/>
        </w:rPr>
      </w:pPr>
      <w:r>
        <w:rPr>
          <w:lang w:val="lt" w:eastAsia="lt-LT"/>
        </w:rPr>
        <w:t>2.1. šis nutarimas, išskyrus 1.2 papunktį, įsigalioja 2025 m. liepos 1 d.</w:t>
      </w:r>
    </w:p>
    <w:p w14:paraId="4D21792A" w14:textId="77777777" w:rsidR="00C61547" w:rsidRPr="00106C6F" w:rsidRDefault="00106C6F" w:rsidP="00106C6F">
      <w:pPr>
        <w:widowControl w:val="0"/>
        <w:tabs>
          <w:tab w:val="left" w:pos="1134"/>
        </w:tabs>
        <w:spacing w:line="360" w:lineRule="atLeast"/>
        <w:ind w:firstLine="720"/>
        <w:jc w:val="both"/>
        <w:rPr>
          <w:lang w:val="lt" w:eastAsia="lt-LT"/>
        </w:rPr>
      </w:pPr>
      <w:r>
        <w:rPr>
          <w:lang w:val="lt" w:eastAsia="lt-LT"/>
        </w:rPr>
        <w:t xml:space="preserve">2.2. šio nutarimo </w:t>
      </w:r>
      <w:r>
        <w:rPr>
          <w:lang w:val="es-ES_tradnl" w:eastAsia="lt-LT"/>
        </w:rPr>
        <w:t xml:space="preserve">1.2 </w:t>
      </w:r>
      <w:r>
        <w:rPr>
          <w:lang w:eastAsia="lt-LT"/>
        </w:rPr>
        <w:t xml:space="preserve">papunktis </w:t>
      </w:r>
      <w:r>
        <w:rPr>
          <w:lang w:val="lt" w:eastAsia="lt-LT"/>
        </w:rPr>
        <w:t xml:space="preserve">įsigalioja 2026 m. liepos 1 d. </w:t>
      </w:r>
    </w:p>
    <w:p w14:paraId="18322809" w14:textId="77777777" w:rsidR="00106C6F" w:rsidRDefault="00106C6F">
      <w:pPr>
        <w:tabs>
          <w:tab w:val="center" w:pos="-7800"/>
          <w:tab w:val="left" w:pos="6237"/>
          <w:tab w:val="right" w:pos="8306"/>
        </w:tabs>
      </w:pPr>
    </w:p>
    <w:p w14:paraId="5736AAB3" w14:textId="77777777" w:rsidR="00106C6F" w:rsidRDefault="00106C6F">
      <w:pPr>
        <w:tabs>
          <w:tab w:val="center" w:pos="-7800"/>
          <w:tab w:val="left" w:pos="6237"/>
          <w:tab w:val="right" w:pos="8306"/>
        </w:tabs>
      </w:pPr>
    </w:p>
    <w:p w14:paraId="673F6F2A" w14:textId="77777777" w:rsidR="00106C6F" w:rsidRDefault="00106C6F">
      <w:pPr>
        <w:tabs>
          <w:tab w:val="center" w:pos="-7800"/>
          <w:tab w:val="left" w:pos="6237"/>
          <w:tab w:val="right" w:pos="8306"/>
        </w:tabs>
      </w:pPr>
    </w:p>
    <w:p w14:paraId="07988BCF" w14:textId="77777777" w:rsidR="00C61547" w:rsidRDefault="00106C6F">
      <w:pPr>
        <w:tabs>
          <w:tab w:val="center" w:pos="-7800"/>
          <w:tab w:val="left" w:pos="6237"/>
          <w:tab w:val="right" w:pos="8306"/>
        </w:tabs>
        <w:rPr>
          <w:lang w:eastAsia="lt-LT"/>
        </w:rPr>
      </w:pPr>
      <w:r>
        <w:rPr>
          <w:lang w:eastAsia="lt-LT"/>
        </w:rPr>
        <w:t>Ministras Pirmininkas</w:t>
      </w:r>
      <w:r>
        <w:rPr>
          <w:lang w:eastAsia="lt-LT"/>
        </w:rPr>
        <w:tab/>
        <w:t xml:space="preserve">Gintautas </w:t>
      </w:r>
      <w:proofErr w:type="spellStart"/>
      <w:r>
        <w:rPr>
          <w:lang w:eastAsia="lt-LT"/>
        </w:rPr>
        <w:t>Paluckas</w:t>
      </w:r>
      <w:proofErr w:type="spellEnd"/>
    </w:p>
    <w:p w14:paraId="023826BF" w14:textId="77777777" w:rsidR="00C61547" w:rsidRDefault="00C61547">
      <w:pPr>
        <w:tabs>
          <w:tab w:val="center" w:pos="-7800"/>
          <w:tab w:val="left" w:pos="6237"/>
          <w:tab w:val="right" w:pos="8306"/>
        </w:tabs>
        <w:rPr>
          <w:lang w:eastAsia="lt-LT"/>
        </w:rPr>
      </w:pPr>
    </w:p>
    <w:p w14:paraId="3F3316BF" w14:textId="77777777" w:rsidR="00C61547" w:rsidRDefault="00C61547">
      <w:pPr>
        <w:tabs>
          <w:tab w:val="center" w:pos="-7800"/>
          <w:tab w:val="left" w:pos="6237"/>
          <w:tab w:val="right" w:pos="8306"/>
        </w:tabs>
        <w:rPr>
          <w:lang w:eastAsia="lt-LT"/>
        </w:rPr>
      </w:pPr>
    </w:p>
    <w:p w14:paraId="25FC816C" w14:textId="77777777" w:rsidR="00C61547" w:rsidRDefault="00C61547">
      <w:pPr>
        <w:tabs>
          <w:tab w:val="center" w:pos="-7800"/>
          <w:tab w:val="left" w:pos="6237"/>
          <w:tab w:val="right" w:pos="8306"/>
        </w:tabs>
        <w:rPr>
          <w:lang w:eastAsia="lt-LT"/>
        </w:rPr>
      </w:pPr>
    </w:p>
    <w:p w14:paraId="62FDC328" w14:textId="77777777" w:rsidR="00C61547" w:rsidRDefault="00106C6F" w:rsidP="00106C6F">
      <w:pPr>
        <w:tabs>
          <w:tab w:val="center" w:pos="-7800"/>
          <w:tab w:val="left" w:pos="6237"/>
          <w:tab w:val="right" w:pos="8306"/>
        </w:tabs>
        <w:rPr>
          <w:lang w:eastAsia="lt-LT"/>
        </w:rPr>
      </w:pPr>
      <w:r>
        <w:rPr>
          <w:lang w:eastAsia="lt-LT"/>
        </w:rPr>
        <w:t>Aplinkos ministras</w:t>
      </w:r>
      <w:r>
        <w:rPr>
          <w:lang w:eastAsia="lt-LT"/>
        </w:rPr>
        <w:tab/>
        <w:t xml:space="preserve">Povilas </w:t>
      </w:r>
      <w:proofErr w:type="spellStart"/>
      <w:r>
        <w:rPr>
          <w:lang w:eastAsia="lt-LT"/>
        </w:rPr>
        <w:t>Poderskis</w:t>
      </w:r>
      <w:proofErr w:type="spellEnd"/>
    </w:p>
    <w:p w14:paraId="3C34B4D7" w14:textId="77777777" w:rsidR="00106C6F" w:rsidRDefault="00106C6F">
      <w:pPr>
        <w:ind w:left="5500"/>
        <w:sectPr w:rsidR="00106C6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pgNumType w:start="1"/>
          <w:cols w:space="1296"/>
          <w:titlePg/>
        </w:sectPr>
      </w:pPr>
    </w:p>
    <w:p w14:paraId="4D0A77BE" w14:textId="77777777" w:rsidR="00C61547" w:rsidRDefault="00106C6F">
      <w:pPr>
        <w:ind w:left="5500"/>
      </w:pPr>
      <w:r>
        <w:lastRenderedPageBreak/>
        <w:t>PATVIRTINTA</w:t>
      </w:r>
    </w:p>
    <w:p w14:paraId="25A0937C" w14:textId="77777777" w:rsidR="00C61547" w:rsidRDefault="00106C6F">
      <w:pPr>
        <w:ind w:left="5500"/>
      </w:pPr>
      <w:r>
        <w:t>Lietuvos Respublikos Vyriausybės</w:t>
      </w:r>
    </w:p>
    <w:p w14:paraId="1C46BF43" w14:textId="77777777" w:rsidR="00106C6F" w:rsidRDefault="00106C6F">
      <w:pPr>
        <w:ind w:left="5500"/>
      </w:pPr>
      <w:r>
        <w:t>2015 m. balandžio 15 d.</w:t>
      </w:r>
    </w:p>
    <w:p w14:paraId="61241E31" w14:textId="77777777" w:rsidR="00C61547" w:rsidRDefault="00106C6F">
      <w:pPr>
        <w:ind w:left="5500"/>
      </w:pPr>
      <w:r>
        <w:t>nutarimu Nr. 390</w:t>
      </w:r>
    </w:p>
    <w:p w14:paraId="41A72820" w14:textId="77777777" w:rsidR="00C61547" w:rsidRDefault="00106C6F">
      <w:pPr>
        <w:ind w:left="5500"/>
      </w:pPr>
      <w:r>
        <w:t>(Lietuvos Respublikos Vyriausybės</w:t>
      </w:r>
    </w:p>
    <w:p w14:paraId="44BB23CC" w14:textId="77777777" w:rsidR="00106C6F" w:rsidRDefault="00106C6F">
      <w:pPr>
        <w:ind w:left="5500"/>
      </w:pPr>
      <w:r>
        <w:t xml:space="preserve">2025 m. </w:t>
      </w:r>
      <w:r w:rsidRPr="00106C6F">
        <w:t>gegužės 7</w:t>
      </w:r>
      <w:r>
        <w:t xml:space="preserve"> d. </w:t>
      </w:r>
    </w:p>
    <w:p w14:paraId="5A593096" w14:textId="77777777" w:rsidR="00C61547" w:rsidRDefault="00106C6F">
      <w:pPr>
        <w:ind w:left="5500"/>
      </w:pPr>
      <w:r>
        <w:t>nutarimo Nr. 278 redakcija)</w:t>
      </w:r>
    </w:p>
    <w:p w14:paraId="2AA9BE6A" w14:textId="77777777" w:rsidR="00C61547" w:rsidRDefault="00C61547">
      <w:pPr>
        <w:rPr>
          <w:b/>
        </w:rPr>
      </w:pPr>
    </w:p>
    <w:p w14:paraId="4CFAACC4" w14:textId="77777777" w:rsidR="00C61547" w:rsidRDefault="00C61547">
      <w:pPr>
        <w:jc w:val="center"/>
        <w:rPr>
          <w:b/>
        </w:rPr>
      </w:pPr>
    </w:p>
    <w:p w14:paraId="47C2C740" w14:textId="77777777" w:rsidR="00C61547" w:rsidRDefault="00106C6F">
      <w:pPr>
        <w:jc w:val="center"/>
        <w:rPr>
          <w:b/>
          <w:bCs/>
        </w:rPr>
      </w:pPr>
      <w:r>
        <w:rPr>
          <w:b/>
          <w:bCs/>
        </w:rPr>
        <w:t>DAUGIABUČIO NAMO</w:t>
      </w:r>
      <w:r>
        <w:t xml:space="preserve"> </w:t>
      </w:r>
      <w:r>
        <w:rPr>
          <w:b/>
          <w:bCs/>
        </w:rPr>
        <w:t>BUTŲ IR KITŲ PATALPŲ SAVININKŲ LĖŠŲ, SKIRIAMŲ NAMUI (STATINIUI) ATNAUJINTI PAGAL PRIVALOMUOSIUS STATINIŲ NAUDOJIMO IR PRIEŽIŪROS REIKALAVIMUS, KAUPIMO, DYDŽIO</w:t>
      </w:r>
      <w:r>
        <w:rPr>
          <w:b/>
          <w:bCs/>
          <w:i/>
          <w:iCs/>
        </w:rPr>
        <w:t xml:space="preserve"> </w:t>
      </w:r>
      <w:r>
        <w:rPr>
          <w:b/>
          <w:bCs/>
        </w:rPr>
        <w:t>APSKAIČIAVIMO IR SUKAUPTŲ LĖŠŲ APSAUGOS TVARKOS APRAŠAS</w:t>
      </w:r>
    </w:p>
    <w:p w14:paraId="1662B93F" w14:textId="77777777" w:rsidR="00C61547" w:rsidRDefault="00C61547">
      <w:pPr>
        <w:rPr>
          <w:szCs w:val="24"/>
        </w:rPr>
      </w:pPr>
    </w:p>
    <w:p w14:paraId="646954F1" w14:textId="77777777" w:rsidR="00C61547" w:rsidRDefault="00C61547">
      <w:pPr>
        <w:rPr>
          <w:szCs w:val="24"/>
        </w:rPr>
      </w:pPr>
    </w:p>
    <w:p w14:paraId="37EC7E17" w14:textId="77777777" w:rsidR="00C61547" w:rsidRDefault="00106C6F">
      <w:pPr>
        <w:jc w:val="center"/>
        <w:rPr>
          <w:b/>
          <w:szCs w:val="24"/>
        </w:rPr>
      </w:pPr>
      <w:r>
        <w:rPr>
          <w:b/>
          <w:szCs w:val="24"/>
        </w:rPr>
        <w:t xml:space="preserve">I SKYRIUS </w:t>
      </w:r>
    </w:p>
    <w:p w14:paraId="06ADF859" w14:textId="77777777" w:rsidR="00C61547" w:rsidRDefault="00106C6F">
      <w:pPr>
        <w:jc w:val="center"/>
        <w:rPr>
          <w:b/>
          <w:szCs w:val="24"/>
        </w:rPr>
      </w:pPr>
      <w:r>
        <w:rPr>
          <w:b/>
          <w:szCs w:val="24"/>
        </w:rPr>
        <w:t>BENDROSIOS NUOSTATOS</w:t>
      </w:r>
    </w:p>
    <w:p w14:paraId="5B1D2674" w14:textId="77777777" w:rsidR="00C61547" w:rsidRDefault="00C61547">
      <w:pPr>
        <w:jc w:val="center"/>
        <w:rPr>
          <w:b/>
          <w:szCs w:val="24"/>
        </w:rPr>
      </w:pPr>
    </w:p>
    <w:p w14:paraId="08590BDB" w14:textId="77777777" w:rsidR="00C61547" w:rsidRDefault="00106C6F">
      <w:pPr>
        <w:spacing w:line="276" w:lineRule="auto"/>
        <w:ind w:firstLine="720"/>
        <w:jc w:val="both"/>
      </w:pPr>
      <w:r>
        <w:t>1. Daugiabučio namo butų ir kitų patalpų savininkų lėšų, skiriamų namui (statiniui) atnaujinti pagal privalomuosius statinių naudojimo ir priežiūros reikalavimus, kaupimo, dydžio apskaičiavimo ir sukauptų lėšų apsaugos tvarkos aprašas (toliau – Aprašas) nustato lėšų, kurios bus skiriamos pastato bendrojo naudojimo objektams atnaujinti pagal įstatymuose ir kituose teisės aktuose nustatytus statinių naudojimo ir priežiūros privalomuosius reikalavimus (toliau – privalomieji reikalavimai), kaupimo, jų dydžio apskaičiavimo ir sukauptų lėšų apsaugos tvarką.</w:t>
      </w:r>
    </w:p>
    <w:p w14:paraId="5B28909F" w14:textId="77777777" w:rsidR="00C61547" w:rsidRDefault="00106C6F">
      <w:pPr>
        <w:tabs>
          <w:tab w:val="left" w:pos="-3686"/>
        </w:tabs>
        <w:spacing w:line="276" w:lineRule="auto"/>
        <w:ind w:firstLine="720"/>
        <w:jc w:val="both"/>
        <w:rPr>
          <w:rFonts w:eastAsia="Calibri"/>
          <w:szCs w:val="24"/>
        </w:rPr>
      </w:pPr>
      <w:r>
        <w:rPr>
          <w:rFonts w:eastAsia="Calibri"/>
          <w:szCs w:val="24"/>
        </w:rPr>
        <w:t>2. Apraše vartojamos sąvokos apibrėžtos Lietuvos Respublikos civiliniame kodekse, Lietuvos Respublikos daugiabučių gyvenamųjų namų ir kitos paskirties pastatų savininkų bendrijų įstatyme, Lietuvos Respublikos statybos įstatyme, Lietuvos Respublikos valstybės paramos daugiabučiams namams atnaujinti (modernizuoti) įstatyme ir Lietuvos Respublikos indėlių ir įsipareigojimų investuotojams draudimo įstatyme.</w:t>
      </w:r>
    </w:p>
    <w:p w14:paraId="3E410937" w14:textId="77777777" w:rsidR="00C61547" w:rsidRDefault="00C61547">
      <w:pPr>
        <w:tabs>
          <w:tab w:val="left" w:pos="-3686"/>
        </w:tabs>
        <w:ind w:firstLine="709"/>
        <w:jc w:val="both"/>
        <w:rPr>
          <w:rFonts w:eastAsia="Calibri"/>
          <w:szCs w:val="24"/>
        </w:rPr>
      </w:pPr>
    </w:p>
    <w:p w14:paraId="600B5A92" w14:textId="77777777" w:rsidR="00C61547" w:rsidRDefault="00106C6F">
      <w:pPr>
        <w:tabs>
          <w:tab w:val="left" w:pos="-3686"/>
        </w:tabs>
        <w:jc w:val="center"/>
        <w:rPr>
          <w:b/>
          <w:szCs w:val="24"/>
        </w:rPr>
      </w:pPr>
      <w:r>
        <w:rPr>
          <w:b/>
          <w:szCs w:val="24"/>
        </w:rPr>
        <w:t>II SKYRIUS</w:t>
      </w:r>
    </w:p>
    <w:p w14:paraId="2E9E79D8" w14:textId="77777777" w:rsidR="00C61547" w:rsidRDefault="00106C6F">
      <w:pPr>
        <w:tabs>
          <w:tab w:val="left" w:pos="-3686"/>
        </w:tabs>
        <w:jc w:val="center"/>
        <w:rPr>
          <w:b/>
          <w:szCs w:val="24"/>
        </w:rPr>
      </w:pPr>
      <w:r>
        <w:rPr>
          <w:b/>
          <w:szCs w:val="24"/>
        </w:rPr>
        <w:t>LĖŠŲ KAUPIMAS IR KAUPIAMŲJŲ LĖŠŲ DYDŽIO APSKAIČIAVIMAS</w:t>
      </w:r>
    </w:p>
    <w:p w14:paraId="10B50F0A" w14:textId="77777777" w:rsidR="00C61547" w:rsidRDefault="00C61547">
      <w:pPr>
        <w:tabs>
          <w:tab w:val="left" w:pos="-3686"/>
        </w:tabs>
        <w:ind w:firstLine="709"/>
        <w:jc w:val="center"/>
        <w:rPr>
          <w:szCs w:val="24"/>
        </w:rPr>
      </w:pPr>
    </w:p>
    <w:p w14:paraId="0D0EB59F" w14:textId="77777777" w:rsidR="00C61547" w:rsidRDefault="00106C6F">
      <w:pPr>
        <w:spacing w:line="276" w:lineRule="auto"/>
        <w:ind w:firstLine="720"/>
        <w:jc w:val="both"/>
        <w:rPr>
          <w:rFonts w:eastAsia="Calibri"/>
        </w:rPr>
      </w:pPr>
      <w:r>
        <w:rPr>
          <w:rFonts w:eastAsia="Calibri"/>
        </w:rPr>
        <w:t>3. Kaupiamųjų lėšų poreikis nustatomas įvertinus daugiabučio namo techninę būklę ir pastato bendrojo naudojimo objektų atnaujinimo poreikį, pagrįstą privalomaisiais reikalavimais. Pagal nustatytą poreikį numatomos bendrojo naudojimo objektų atnaujinimo pagal privalomuosius reikalavimus priemonės, kurioms finansuoti lėšos bus kaupiamos dvejus ar daugiau metų, numatoma šių priemonių įgyvendinimo orientacinė kaina, lėšų kaupimo pradžia, trukmė, pabaiga (toliau – ilgalaikis planas) ir apskaičiuojama mėnesinės kaupiamosios įmokos tarifo pagal ilgalaikį planą dalis. Ilgalaikį planą ir apskaičiuotą mėnesinės kaupiamosios įmokos tarifo pagal ilgalaikį planą dalį tvirtina daugiabučio gyvenamojo namo butų ir kitų patalpų savininkų bendrijos (toliau – bendrija)</w:t>
      </w:r>
      <w:r>
        <w:rPr>
          <w:lang w:eastAsia="ar-SA"/>
        </w:rPr>
        <w:t xml:space="preserve"> nariai D</w:t>
      </w:r>
      <w:r>
        <w:rPr>
          <w:rFonts w:eastAsia="Calibri"/>
        </w:rPr>
        <w:t>augiabučių gyvenamųjų namų ir kitos paskirties pastatų savininkų bendrijų įstatyme</w:t>
      </w:r>
      <w:r>
        <w:rPr>
          <w:lang w:eastAsia="ar-SA"/>
        </w:rPr>
        <w:t xml:space="preserve"> nustatyta tvarka, kai bendrija neįsteigta – daugiabučio namo butų ir kitų patalpų savininkai Civilinio kodekso 4.85 straipsnyje nustatyta tvarka</w:t>
      </w:r>
      <w:r>
        <w:rPr>
          <w:rFonts w:eastAsia="Calibri"/>
        </w:rPr>
        <w:t xml:space="preserve">. Kol bus patvirtintas ilgalaikis planas ir jį patvirtinus daugiabučio namo butų ir kitų patalpų savininkai pagal Aprašo 10 punkto nuostatas turi kaupti lėšas ilgalaikiame plane </w:t>
      </w:r>
      <w:r>
        <w:rPr>
          <w:rFonts w:eastAsia="Calibri"/>
        </w:rPr>
        <w:lastRenderedPageBreak/>
        <w:t xml:space="preserve">nenumatytoms bendrojo naudojimo objektų atnaujinimo pagal privalomuosius reikalavimus priemonėms (toliau – ilgalaikiame plane nenumatytos privalomosios priemonės) finansuoti. </w:t>
      </w:r>
    </w:p>
    <w:p w14:paraId="085A5714" w14:textId="77777777" w:rsidR="00C61547" w:rsidRDefault="00106C6F">
      <w:pPr>
        <w:spacing w:line="276" w:lineRule="auto"/>
        <w:ind w:firstLine="720"/>
        <w:jc w:val="both"/>
        <w:rPr>
          <w:rFonts w:eastAsia="Calibri"/>
        </w:rPr>
      </w:pPr>
      <w:r>
        <w:rPr>
          <w:rFonts w:eastAsia="Calibri"/>
        </w:rPr>
        <w:t>4. Mėnesinės kaupiamosios įmokos tarifas apskaičiuojamas pagal Aprašo 6 punkte pateiktą formulę, jis negali būti didesnis už maksimalų mėnesinės kaupiamosios įmokos tarifą, apskaičiuotą pagal Aprašo 7 punkte pateiktą formulę.</w:t>
      </w:r>
    </w:p>
    <w:p w14:paraId="0CCB443B" w14:textId="77777777" w:rsidR="00C61547" w:rsidRDefault="00106C6F">
      <w:pPr>
        <w:spacing w:line="276" w:lineRule="auto"/>
        <w:ind w:firstLine="720"/>
        <w:jc w:val="both"/>
        <w:rPr>
          <w:rFonts w:eastAsia="Calibri"/>
        </w:rPr>
      </w:pPr>
      <w:r>
        <w:rPr>
          <w:rFonts w:eastAsia="Calibri"/>
        </w:rPr>
        <w:t xml:space="preserve">5. Daugiabučio namo buto ar kitos patalpos savininko mėnesinės kaupiamosios įmokos dydis apskaičiuojamas pagal formulę: </w:t>
      </w:r>
    </w:p>
    <w:p w14:paraId="6D05341E" w14:textId="77777777" w:rsidR="00C61547" w:rsidRDefault="00913BB2">
      <w:pPr>
        <w:spacing w:line="276" w:lineRule="auto"/>
        <w:jc w:val="both"/>
      </w:pPr>
      <m:oMathPara>
        <m:oMath>
          <m:sSub>
            <m:sSubPr>
              <m:ctrlPr>
                <w:rPr>
                  <w:rFonts w:ascii="Cambria Math" w:hAnsi="Cambria Math"/>
                  <w:i/>
                  <w:szCs w:val="24"/>
                </w:rPr>
              </m:ctrlPr>
            </m:sSubPr>
            <m:e>
              <m:r>
                <w:rPr>
                  <w:rFonts w:ascii="Cambria Math" w:hAnsi="Cambria Math"/>
                  <w:szCs w:val="24"/>
                </w:rPr>
                <m:t xml:space="preserve">              </m:t>
              </m:r>
              <m:r>
                <w:rPr>
                  <w:rFonts w:ascii="Cambria Math" w:hAnsi="Cambria Math"/>
                  <w:szCs w:val="24"/>
                </w:rPr>
                <m:t>K</m:t>
              </m:r>
            </m:e>
            <m:sub>
              <m:r>
                <w:rPr>
                  <w:rFonts w:ascii="Cambria Math" w:hAnsi="Cambria Math"/>
                  <w:szCs w:val="24"/>
                </w:rPr>
                <m:t>m</m:t>
              </m:r>
            </m:sub>
          </m:sSub>
          <m:r>
            <w:rPr>
              <w:rFonts w:ascii="Cambria Math" w:hAnsi="Cambria Math"/>
              <w:szCs w:val="24"/>
              <w:lang w:val="en-US"/>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m</m:t>
              </m:r>
            </m:sub>
          </m:sSub>
          <m:r>
            <w:rPr>
              <w:rFonts w:ascii="Cambria Math" w:hAnsi="Cambria Math"/>
              <w:szCs w:val="24"/>
            </w:rPr>
            <m:t xml:space="preserve"> × </m:t>
          </m:r>
          <m:r>
            <w:rPr>
              <w:rFonts w:ascii="Cambria Math" w:hAnsi="Cambria Math"/>
              <w:szCs w:val="24"/>
            </w:rPr>
            <m:t>p</m:t>
          </m:r>
          <m:r>
            <w:rPr>
              <w:rFonts w:ascii="Cambria Math" w:hAnsi="Cambria Math"/>
              <w:szCs w:val="24"/>
            </w:rPr>
            <m:t>;</m:t>
          </m:r>
        </m:oMath>
      </m:oMathPara>
    </w:p>
    <w:p w14:paraId="7BAD54F0" w14:textId="77777777" w:rsidR="00C61547" w:rsidRDefault="00106C6F">
      <w:pPr>
        <w:spacing w:line="276" w:lineRule="auto"/>
        <w:ind w:firstLine="737"/>
        <w:jc w:val="both"/>
        <w:rPr>
          <w:rFonts w:eastAsia="Calibri"/>
        </w:rPr>
      </w:pPr>
      <w:r>
        <w:rPr>
          <w:rFonts w:eastAsia="Calibri"/>
          <w:i/>
          <w:iCs/>
        </w:rPr>
        <w:t>K</w:t>
      </w:r>
      <w:r>
        <w:rPr>
          <w:rFonts w:eastAsia="Calibri"/>
          <w:i/>
          <w:iCs/>
          <w:vertAlign w:val="subscript"/>
        </w:rPr>
        <w:t>m</w:t>
      </w:r>
      <w:r>
        <w:rPr>
          <w:rFonts w:eastAsia="Calibri"/>
        </w:rPr>
        <w:t xml:space="preserve"> ‒ buto ar kitos patalpos savininko mėnesinės kaupiamosios įmokos dydis (Eur/mėn.);</w:t>
      </w:r>
    </w:p>
    <w:p w14:paraId="43A066B6" w14:textId="77777777" w:rsidR="00C61547" w:rsidRDefault="00913BB2">
      <w:pPr>
        <w:spacing w:line="276" w:lineRule="auto"/>
        <w:ind w:firstLine="709"/>
        <w:jc w:val="both"/>
        <w:rPr>
          <w:rFonts w:eastAsia="Calibri"/>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m</m:t>
            </m:r>
          </m:sub>
        </m:sSub>
        <m:r>
          <w:rPr>
            <w:rFonts w:ascii="Cambria Math" w:hAnsi="Cambria Math"/>
            <w:szCs w:val="24"/>
          </w:rPr>
          <m:t xml:space="preserve"> </m:t>
        </m:r>
      </m:oMath>
      <w:r w:rsidR="00106C6F">
        <w:rPr>
          <w:rFonts w:eastAsia="Calibri"/>
        </w:rPr>
        <w:t>‒ mėnesinės kaupiamosios įmokos tarifas (Eur/kv. m/mėn.), apskaičiuotas pagal Aprašo 6 punkte nurodytą formulę;</w:t>
      </w:r>
    </w:p>
    <w:p w14:paraId="7B9120C4" w14:textId="77777777" w:rsidR="00C61547" w:rsidRDefault="00106C6F">
      <w:pPr>
        <w:spacing w:line="276" w:lineRule="auto"/>
        <w:ind w:firstLine="720"/>
        <w:jc w:val="both"/>
        <w:rPr>
          <w:rFonts w:eastAsia="Calibri"/>
        </w:rPr>
      </w:pPr>
      <w:r>
        <w:rPr>
          <w:rFonts w:eastAsia="Calibri"/>
          <w:i/>
          <w:iCs/>
        </w:rPr>
        <w:t>p</w:t>
      </w:r>
      <w:r>
        <w:rPr>
          <w:rFonts w:eastAsia="Calibri"/>
        </w:rPr>
        <w:t xml:space="preserve"> – buto ar kitos patalpos naudingasis plotas arba bendrasis plotas, kai naudingasis plotas nenustatomas (kv. m).</w:t>
      </w:r>
    </w:p>
    <w:p w14:paraId="09A2F871" w14:textId="77777777" w:rsidR="00C61547" w:rsidRDefault="00106C6F">
      <w:pPr>
        <w:tabs>
          <w:tab w:val="left" w:pos="-3686"/>
        </w:tabs>
        <w:spacing w:line="276" w:lineRule="auto"/>
        <w:ind w:firstLine="720"/>
        <w:jc w:val="both"/>
        <w:rPr>
          <w:szCs w:val="24"/>
        </w:rPr>
      </w:pPr>
      <w:r>
        <w:rPr>
          <w:szCs w:val="24"/>
        </w:rPr>
        <w:t>6. Mėnesinės kaupiamosios įmokos tarifas apskaičiuojamas</w:t>
      </w:r>
      <w:r>
        <w:t xml:space="preserve"> </w:t>
      </w:r>
      <w:r>
        <w:rPr>
          <w:szCs w:val="24"/>
        </w:rPr>
        <w:t>sudėjus mėnesinės kaupiamosios įmokos tarifo pagal ilgalaikį planą dalį ir mėnesinės kaupiamosios įmokos tarifo ilgalaikiame plane nenumatytoms privalomosioms priemonėms finansuoti dalį  pagal formulę:</w:t>
      </w:r>
    </w:p>
    <w:p w14:paraId="4C21B6A1" w14:textId="77777777" w:rsidR="00C61547" w:rsidRDefault="00913BB2">
      <w:pPr>
        <w:spacing w:line="276" w:lineRule="auto"/>
        <w:ind w:left="2007" w:hanging="477"/>
        <w:jc w:val="both"/>
      </w:pPr>
      <m:oMath>
        <m:sSub>
          <m:sSubPr>
            <m:ctrlPr>
              <w:rPr>
                <w:rFonts w:ascii="Cambria Math" w:hAnsi="Cambria Math"/>
                <w:i/>
                <w:szCs w:val="24"/>
              </w:rPr>
            </m:ctrlPr>
          </m:sSubPr>
          <m:e>
            <m:r>
              <w:rPr>
                <w:rFonts w:ascii="Cambria Math" w:hAnsi="Cambria Math"/>
                <w:szCs w:val="24"/>
              </w:rPr>
              <m:t xml:space="preserve"> </m:t>
            </m:r>
            <m:r>
              <w:rPr>
                <w:rFonts w:ascii="Cambria Math" w:hAnsi="Cambria Math"/>
                <w:szCs w:val="24"/>
              </w:rPr>
              <m:t>k</m:t>
            </m:r>
          </m:e>
          <m:sub>
            <m:r>
              <w:rPr>
                <w:rFonts w:ascii="Cambria Math" w:hAnsi="Cambria Math"/>
                <w:szCs w:val="24"/>
              </w:rPr>
              <m:t>m</m:t>
            </m:r>
          </m:sub>
        </m:sSub>
        <m:r>
          <w:rPr>
            <w:rFonts w:ascii="Cambria Math" w:hAnsi="Cambria Math"/>
            <w:szCs w:val="24"/>
          </w:rPr>
          <m:t>=</m:t>
        </m:r>
        <m:d>
          <m:dPr>
            <m:ctrlPr>
              <w:rPr>
                <w:rFonts w:ascii="Cambria Math" w:hAnsi="Cambria Math"/>
                <w:i/>
                <w:szCs w:val="24"/>
              </w:rPr>
            </m:ctrlPr>
          </m:dPr>
          <m:e>
            <m:f>
              <m:fPr>
                <m:ctrlPr>
                  <w:rPr>
                    <w:rFonts w:ascii="Cambria Math" w:hAnsi="Cambria Math"/>
                    <w:szCs w:val="24"/>
                    <w:lang w:val="en-US"/>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r>
                      <w:rPr>
                        <w:rFonts w:ascii="Cambria Math" w:hAnsi="Cambria Math"/>
                        <w:szCs w:val="24"/>
                      </w:rPr>
                      <m:t xml:space="preserve"> </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1</m:t>
                    </m:r>
                  </m:sub>
                </m:sSub>
              </m:den>
            </m:f>
            <m:r>
              <w:rPr>
                <w:rFonts w:ascii="Cambria Math" w:hAnsi="Cambria Math"/>
                <w:szCs w:val="24"/>
              </w:rPr>
              <m:t>+</m:t>
            </m:r>
            <m:f>
              <m:fPr>
                <m:ctrlPr>
                  <w:rPr>
                    <w:rFonts w:ascii="Cambria Math" w:hAnsi="Cambria Math"/>
                    <w:szCs w:val="24"/>
                    <w:lang w:val="en-US"/>
                  </w:rPr>
                </m:ctrlPr>
              </m:fPr>
              <m:num>
                <m:sSup>
                  <m:sSupPr>
                    <m:ctrlPr>
                      <w:rPr>
                        <w:rFonts w:ascii="Cambria Math" w:hAnsi="Cambria Math"/>
                        <w:szCs w:val="24"/>
                        <w:lang w:val="en-US"/>
                      </w:rPr>
                    </m:ctrlPr>
                  </m:sSup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e>
                  <m:sup/>
                </m:sSup>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2</m:t>
                    </m:r>
                  </m:sub>
                </m:sSub>
              </m:den>
            </m:f>
            <m:r>
              <w:rPr>
                <w:rFonts w:ascii="Cambria Math" w:hAnsi="Cambria Math"/>
                <w:szCs w:val="24"/>
              </w:rPr>
              <m:t>+</m:t>
            </m:r>
            <m:f>
              <m:fPr>
                <m:ctrlPr>
                  <w:rPr>
                    <w:rFonts w:ascii="Cambria Math" w:hAnsi="Cambria Math"/>
                    <w:szCs w:val="24"/>
                    <w:lang w:val="en-US"/>
                  </w:rPr>
                </m:ctrlPr>
              </m:fPr>
              <m:num>
                <m:sSup>
                  <m:sSupPr>
                    <m:ctrlPr>
                      <w:rPr>
                        <w:rFonts w:ascii="Cambria Math" w:hAnsi="Cambria Math"/>
                        <w:szCs w:val="24"/>
                        <w:lang w:val="en-US"/>
                      </w:rPr>
                    </m:ctrlPr>
                  </m:sSup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n</m:t>
                        </m:r>
                      </m:sub>
                    </m:sSub>
                  </m:e>
                  <m:sup/>
                </m:sSup>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den>
            </m:f>
          </m:e>
        </m:d>
        <m:r>
          <w:rPr>
            <w:rFonts w:ascii="Cambria Math" w:hAnsi="Cambria Math"/>
            <w:szCs w:val="24"/>
          </w:rPr>
          <m:t>+</m:t>
        </m:r>
        <m:r>
          <w:rPr>
            <w:rFonts w:ascii="Cambria Math" w:hAnsi="Cambria Math"/>
            <w:szCs w:val="24"/>
          </w:rPr>
          <m:t>q</m:t>
        </m:r>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max</m:t>
            </m:r>
          </m:sub>
        </m:sSub>
      </m:oMath>
      <w:r w:rsidR="00106C6F">
        <w:t>;</w:t>
      </w:r>
    </w:p>
    <w:p w14:paraId="44682571" w14:textId="77777777" w:rsidR="00C61547" w:rsidRDefault="00913BB2">
      <w:pPr>
        <w:spacing w:line="276" w:lineRule="auto"/>
        <w:ind w:left="2007" w:hanging="1174"/>
        <w:jc w:val="both"/>
        <w:rPr>
          <w:rFonts w:eastAsia="Calibri"/>
        </w:rPr>
      </w:pPr>
      <m:oMath>
        <m:sSub>
          <m:sSubPr>
            <m:ctrlPr>
              <w:rPr>
                <w:rFonts w:ascii="Cambria Math" w:hAnsi="Cambria Math"/>
              </w:rPr>
            </m:ctrlPr>
          </m:sSubPr>
          <m:e>
            <m:r>
              <w:rPr>
                <w:rFonts w:ascii="Cambria Math" w:hAnsi="Cambria Math"/>
              </w:rPr>
              <m:t>k</m:t>
            </m:r>
          </m:e>
          <m:sub>
            <m:r>
              <w:rPr>
                <w:rFonts w:ascii="Cambria Math" w:hAnsi="Cambria Math"/>
              </w:rPr>
              <m:t>m</m:t>
            </m:r>
          </m:sub>
        </m:sSub>
      </m:oMath>
      <w:r w:rsidR="00106C6F">
        <w:rPr>
          <w:rFonts w:eastAsia="Calibri"/>
        </w:rPr>
        <w:t>– mėnesinės kaupiamosios įmokos tarifas (Eur/kv. m/mėn.);</w:t>
      </w:r>
    </w:p>
    <w:p w14:paraId="6A71298E" w14:textId="77777777" w:rsidR="00C61547" w:rsidRDefault="00106C6F">
      <w:pPr>
        <w:spacing w:line="276" w:lineRule="auto"/>
        <w:ind w:firstLine="720"/>
        <w:jc w:val="both"/>
        <w:rPr>
          <w:rFonts w:eastAsia="Calibri"/>
        </w:rPr>
      </w:pPr>
      <w:r>
        <w:rPr>
          <w:rFonts w:ascii="Cambria Math" w:eastAsia="Calibri" w:hAnsi="Cambria Math"/>
          <w:i/>
          <w:iCs/>
        </w:rPr>
        <w:t>P</w:t>
      </w:r>
      <w:r>
        <w:rPr>
          <w:rFonts w:ascii="Cambria Math" w:eastAsia="Calibri" w:hAnsi="Cambria Math"/>
          <w:i/>
          <w:iCs/>
          <w:vertAlign w:val="subscript"/>
        </w:rPr>
        <w:t>1</w:t>
      </w:r>
      <w:r>
        <w:rPr>
          <w:rFonts w:ascii="Cambria Math" w:eastAsia="Calibri" w:hAnsi="Cambria Math"/>
          <w:i/>
          <w:iCs/>
        </w:rPr>
        <w:t>,</w:t>
      </w:r>
      <w:r>
        <w:rPr>
          <w:rFonts w:ascii="Cambria Math" w:eastAsia="Calibri" w:hAnsi="Cambria Math"/>
          <w:i/>
          <w:iCs/>
          <w:vertAlign w:val="subscript"/>
        </w:rPr>
        <w:t xml:space="preserve"> </w:t>
      </w:r>
      <w:r>
        <w:rPr>
          <w:rFonts w:ascii="Cambria Math" w:eastAsia="Calibri" w:hAnsi="Cambria Math"/>
          <w:i/>
          <w:iCs/>
        </w:rPr>
        <w:t>P</w:t>
      </w:r>
      <w:r>
        <w:rPr>
          <w:rFonts w:ascii="Cambria Math" w:eastAsia="Calibri" w:hAnsi="Cambria Math"/>
          <w:i/>
          <w:iCs/>
          <w:vertAlign w:val="subscript"/>
        </w:rPr>
        <w:t>2</w:t>
      </w:r>
      <w:r>
        <w:rPr>
          <w:rFonts w:ascii="Cambria Math" w:eastAsia="Calibri" w:hAnsi="Cambria Math"/>
          <w:i/>
          <w:iCs/>
        </w:rPr>
        <w:t xml:space="preserve">, ..., </w:t>
      </w:r>
      <w:proofErr w:type="spellStart"/>
      <w:r>
        <w:rPr>
          <w:rFonts w:ascii="Cambria Math" w:eastAsia="Calibri" w:hAnsi="Cambria Math"/>
          <w:i/>
          <w:iCs/>
        </w:rPr>
        <w:t>P</w:t>
      </w:r>
      <w:r>
        <w:rPr>
          <w:rFonts w:ascii="Cambria Math" w:eastAsia="Calibri" w:hAnsi="Cambria Math"/>
          <w:i/>
          <w:iCs/>
          <w:vertAlign w:val="subscript"/>
        </w:rPr>
        <w:t>n</w:t>
      </w:r>
      <w:proofErr w:type="spellEnd"/>
      <w:r>
        <w:rPr>
          <w:rFonts w:eastAsia="Calibri"/>
          <w:vertAlign w:val="subscript"/>
        </w:rPr>
        <w:t xml:space="preserve"> </w:t>
      </w:r>
      <w:r>
        <w:rPr>
          <w:rFonts w:eastAsia="Calibri"/>
        </w:rPr>
        <w:t>– ilgalaikiame plane numatytų atskirų priemonių, kurioms lėšų kaupimo terminas nesibaigė, orientacinė kaina (Eur). Jeigu iki mėnesinės kaupiamosios įmokos tarifo apskaičiavimo dienos jau sukaupta dalis lėšų ilgalaikiame plane numatytoms priemonėms finansuoti, šios lėšos atimamos iš priemonių orientacinės kainos. Jeigu ilgalaikis planas nepatvirtintas, ilgalaikiame plane numatytų atskirų priemonių orientacinė kaina ir mėnesinės kaupiamosios įmokos tarifo pagal ilgalaikį planą dalis, lygi nuliui;</w:t>
      </w:r>
    </w:p>
    <w:p w14:paraId="12540DB2" w14:textId="77777777" w:rsidR="00C61547" w:rsidRDefault="00913BB2">
      <w:pPr>
        <w:spacing w:line="276" w:lineRule="auto"/>
        <w:ind w:firstLine="782"/>
        <w:jc w:val="both"/>
        <w:rPr>
          <w:rFonts w:eastAsia="Calibri"/>
        </w:rPr>
      </w:pP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r>
          <w:rPr>
            <w:rFonts w:ascii="Cambria Math" w:hAnsi="Cambria Math"/>
            <w:szCs w:val="24"/>
          </w:rPr>
          <m:t xml:space="preserve"> </m:t>
        </m:r>
      </m:oMath>
      <w:r w:rsidR="00106C6F">
        <w:rPr>
          <w:rFonts w:eastAsia="Calibri"/>
        </w:rPr>
        <w:t>– daugiabučio namo butų ir kitų patalpų naudingasis plotas arba bendrasis plotas, kai naudingasis plotas nenustatomas, iš viso (kv. m);</w:t>
      </w:r>
    </w:p>
    <w:p w14:paraId="3D9E28BA" w14:textId="77777777" w:rsidR="00C61547" w:rsidRDefault="00106C6F">
      <w:pPr>
        <w:spacing w:line="276" w:lineRule="auto"/>
        <w:ind w:firstLine="720"/>
        <w:jc w:val="both"/>
        <w:rPr>
          <w:rFonts w:eastAsia="Calibri"/>
        </w:rPr>
      </w:pPr>
      <w:r>
        <w:rPr>
          <w:rFonts w:ascii="Cambria Math" w:eastAsia="Calibri" w:hAnsi="Cambria Math"/>
          <w:i/>
          <w:iCs/>
        </w:rPr>
        <w:t>t</w:t>
      </w:r>
      <w:r>
        <w:rPr>
          <w:rFonts w:ascii="Cambria Math" w:eastAsia="Calibri" w:hAnsi="Cambria Math"/>
          <w:i/>
          <w:iCs/>
          <w:vertAlign w:val="subscript"/>
        </w:rPr>
        <w:t>1,</w:t>
      </w:r>
      <w:r>
        <w:rPr>
          <w:rFonts w:ascii="Cambria Math" w:eastAsia="Calibri" w:hAnsi="Cambria Math"/>
          <w:i/>
          <w:iCs/>
        </w:rPr>
        <w:t xml:space="preserve"> </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Cambria Math" w:eastAsia="Calibri" w:hAnsi="Cambria Math"/>
          <w:i/>
          <w:iCs/>
          <w:vertAlign w:val="subscript"/>
        </w:rPr>
        <w:t>, ...,</w:t>
      </w:r>
      <w:r>
        <w:rPr>
          <w:rFonts w:ascii="Cambria Math" w:eastAsia="Calibri" w:hAnsi="Cambria Math"/>
          <w:i/>
          <w:iCs/>
        </w:rPr>
        <w:t xml:space="preserve"> </w:t>
      </w:r>
      <m:oMath>
        <m:sSub>
          <m:sSubPr>
            <m:ctrlPr>
              <w:rPr>
                <w:rFonts w:ascii="Cambria Math" w:hAnsi="Cambria Math"/>
              </w:rPr>
            </m:ctrlPr>
          </m:sSubPr>
          <m:e>
            <m:r>
              <w:rPr>
                <w:rFonts w:ascii="Cambria Math" w:hAnsi="Cambria Math"/>
              </w:rPr>
              <m:t>t</m:t>
            </m:r>
          </m:e>
          <m:sub>
            <m:r>
              <w:rPr>
                <w:rFonts w:ascii="Cambria Math" w:hAnsi="Cambria Math"/>
              </w:rPr>
              <m:t>n</m:t>
            </m:r>
          </m:sub>
        </m:sSub>
      </m:oMath>
      <w:r>
        <w:rPr>
          <w:rFonts w:ascii="Cambria Math" w:eastAsia="Calibri" w:hAnsi="Cambria Math"/>
          <w:i/>
          <w:iCs/>
          <w:vertAlign w:val="subscript"/>
        </w:rPr>
        <w:t xml:space="preserve"> </w:t>
      </w:r>
      <w:r>
        <w:rPr>
          <w:rFonts w:ascii="Cambria Math" w:eastAsia="Calibri" w:hAnsi="Cambria Math"/>
          <w:i/>
          <w:iCs/>
          <w:vertAlign w:val="superscript"/>
        </w:rPr>
        <w:t xml:space="preserve"> </w:t>
      </w:r>
      <w:r>
        <w:rPr>
          <w:rFonts w:eastAsia="Calibri"/>
        </w:rPr>
        <w:t>– ilgalaikiame plane numatytoms atskiroms priemonėms, kurioms lėšų kaupimo terminas nesibaigė, suplanuota lėšų kaupimo trukmė (mėn.);</w:t>
      </w:r>
    </w:p>
    <w:p w14:paraId="778D30D9" w14:textId="77777777" w:rsidR="00C61547" w:rsidRDefault="00106C6F">
      <w:pPr>
        <w:spacing w:line="276" w:lineRule="auto"/>
        <w:ind w:firstLine="720"/>
        <w:jc w:val="both"/>
        <w:rPr>
          <w:rFonts w:eastAsia="Calibri"/>
        </w:rPr>
      </w:pPr>
      <w:r>
        <w:rPr>
          <w:rFonts w:ascii="Cambria Math" w:eastAsia="Calibri" w:hAnsi="Cambria Math"/>
          <w:i/>
          <w:iCs/>
        </w:rPr>
        <w:t>q</w:t>
      </w:r>
      <w:r>
        <w:rPr>
          <w:rFonts w:eastAsia="Calibri"/>
        </w:rPr>
        <w:t xml:space="preserve"> – mėnesinės kaupiamosios įmokos tarifo ilgalaikiame plane nenumatytoms privalomosioms priemonėms finansuoti dalis. Ši reikšmė nustatoma pagal Aprašo 10 punktą;</w:t>
      </w:r>
    </w:p>
    <w:p w14:paraId="7E97E765" w14:textId="77777777" w:rsidR="00C61547" w:rsidRDefault="00913BB2">
      <w:pPr>
        <w:spacing w:line="276" w:lineRule="auto"/>
        <w:ind w:firstLine="904"/>
        <w:jc w:val="both"/>
        <w:rPr>
          <w:rFonts w:eastAsia="Calibri"/>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max</m:t>
            </m:r>
          </m:sub>
        </m:sSub>
      </m:oMath>
      <w:r w:rsidR="00106C6F">
        <w:rPr>
          <w:rFonts w:eastAsia="Calibri"/>
        </w:rPr>
        <w:t>‒ maksimalus mėnesinės kaupiamosios įmokos tarifas, apskaičiuotas pagal Aprašo 7 punkte nurodytą formulę.</w:t>
      </w:r>
    </w:p>
    <w:p w14:paraId="2495038E" w14:textId="77777777" w:rsidR="00C61547" w:rsidRDefault="00106C6F">
      <w:pPr>
        <w:spacing w:line="276" w:lineRule="auto"/>
        <w:ind w:firstLine="720"/>
        <w:jc w:val="both"/>
        <w:rPr>
          <w:rFonts w:eastAsia="Calibri"/>
        </w:rPr>
      </w:pPr>
      <w:r>
        <w:rPr>
          <w:rFonts w:eastAsia="Calibri"/>
        </w:rPr>
        <w:t>Mėnesinės kaupiamosios įmokos tarifo ir jo dalių – pagal ilgalaikį planą ir ilgalaikiame plane nenumatytoms privalomosioms priemonėms finansuoti – apskaičiavimo pavyzdys pateiktas Aprašo priede.</w:t>
      </w:r>
    </w:p>
    <w:p w14:paraId="03B62DCA" w14:textId="77777777" w:rsidR="00C61547" w:rsidRDefault="00106C6F">
      <w:pPr>
        <w:spacing w:line="276" w:lineRule="auto"/>
        <w:ind w:firstLine="720"/>
        <w:jc w:val="both"/>
        <w:rPr>
          <w:rFonts w:eastAsia="Calibri"/>
        </w:rPr>
      </w:pPr>
      <w:r>
        <w:rPr>
          <w:rFonts w:eastAsia="Calibri"/>
        </w:rPr>
        <w:t>7. Maksimalus mėnesinės kaupiamosios įmokos tarifas apskaičiuojamas pagal formulę:</w:t>
      </w:r>
    </w:p>
    <w:p w14:paraId="7F0751A1" w14:textId="77777777" w:rsidR="00C61547" w:rsidRDefault="00913BB2">
      <w:pPr>
        <w:tabs>
          <w:tab w:val="left" w:pos="-3686"/>
        </w:tabs>
        <w:spacing w:line="276" w:lineRule="auto"/>
        <w:ind w:firstLine="709"/>
        <w:jc w:val="both"/>
        <w:rPr>
          <w:rFonts w:eastAsia="Calibri"/>
          <w:szCs w:val="24"/>
        </w:rPr>
      </w:pPr>
      <m:oMathPara>
        <m:oMathParaPr>
          <m:jc m:val="left"/>
        </m:oMathParaPr>
        <m:oMath>
          <m:sSub>
            <m:sSubPr>
              <m:ctrlPr>
                <w:rPr>
                  <w:rFonts w:ascii="Cambria Math" w:hAnsi="Cambria Math"/>
                  <w:i/>
                  <w:szCs w:val="24"/>
                </w:rPr>
              </m:ctrlPr>
            </m:sSubPr>
            <m:e>
              <m:r>
                <w:rPr>
                  <w:rFonts w:ascii="Cambria Math" w:hAnsi="Cambria Math"/>
                  <w:szCs w:val="24"/>
                </w:rPr>
                <m:t xml:space="preserve">              </m:t>
              </m:r>
              <m:r>
                <w:rPr>
                  <w:rFonts w:ascii="Cambria Math" w:hAnsi="Cambria Math"/>
                  <w:szCs w:val="24"/>
                </w:rPr>
                <m:t>k</m:t>
              </m:r>
            </m:e>
            <m:sub>
              <m:r>
                <w:rPr>
                  <w:rFonts w:ascii="Cambria Math" w:hAnsi="Cambria Math"/>
                  <w:szCs w:val="24"/>
                </w:rPr>
                <m:t>max</m:t>
              </m:r>
            </m:sub>
          </m:sSub>
          <m:r>
            <w:rPr>
              <w:rFonts w:ascii="Cambria Math" w:hAnsi="Cambria Math"/>
              <w:szCs w:val="24"/>
              <w:lang w:val="en-US"/>
            </w:rPr>
            <m:t>=</m:t>
          </m:r>
          <m:f>
            <m:fPr>
              <m:ctrlPr>
                <w:rPr>
                  <w:rFonts w:ascii="Cambria Math" w:hAnsi="Cambria Math"/>
                  <w:i/>
                  <w:szCs w:val="24"/>
                </w:rPr>
              </m:ctrlPr>
            </m:fPr>
            <m:num>
              <m:r>
                <w:rPr>
                  <w:rFonts w:ascii="Cambria Math" w:hAnsi="Cambria Math"/>
                  <w:szCs w:val="24"/>
                </w:rPr>
                <m:t xml:space="preserve">0,05 × </m:t>
              </m:r>
              <m:r>
                <w:rPr>
                  <w:rFonts w:ascii="Cambria Math" w:hAnsi="Cambria Math"/>
                  <w:szCs w:val="24"/>
                </w:rPr>
                <m:t>MMA</m:t>
              </m:r>
            </m:num>
            <m:den>
              <m:r>
                <w:rPr>
                  <w:rFonts w:ascii="Cambria Math" w:hAnsi="Cambria Math"/>
                  <w:szCs w:val="24"/>
                </w:rPr>
                <m:t>45</m:t>
              </m:r>
            </m:den>
          </m:f>
          <m:r>
            <w:rPr>
              <w:rFonts w:ascii="Cambria Math" w:hAnsi="Cambria Math"/>
              <w:szCs w:val="24"/>
            </w:rPr>
            <m:t xml:space="preserve">;                              </m:t>
          </m:r>
        </m:oMath>
      </m:oMathPara>
    </w:p>
    <w:p w14:paraId="56D396FB" w14:textId="77777777" w:rsidR="00C61547" w:rsidRDefault="00106C6F">
      <w:pPr>
        <w:spacing w:line="276" w:lineRule="auto"/>
        <w:ind w:firstLine="720"/>
        <w:jc w:val="both"/>
        <w:rPr>
          <w:rFonts w:eastAsia="Calibri"/>
        </w:rPr>
      </w:pPr>
      <w:r>
        <w:rPr>
          <w:rFonts w:eastAsia="Calibri"/>
          <w:i/>
          <w:iCs/>
        </w:rPr>
        <w:t>MMA</w:t>
      </w:r>
      <w:r>
        <w:rPr>
          <w:rFonts w:eastAsia="Calibri"/>
        </w:rPr>
        <w:t xml:space="preserve"> ‒ Lietuvos Respublikos Vyriausybės nustatyta minimalioji mėnesinė alga (Eur);</w:t>
      </w:r>
    </w:p>
    <w:p w14:paraId="0E540104" w14:textId="77777777" w:rsidR="00C61547" w:rsidRDefault="00106C6F">
      <w:pPr>
        <w:spacing w:line="276" w:lineRule="auto"/>
        <w:ind w:firstLine="720"/>
        <w:jc w:val="both"/>
        <w:rPr>
          <w:rFonts w:eastAsia="Calibri"/>
          <w:b/>
          <w:bCs/>
        </w:rPr>
      </w:pPr>
      <w:r>
        <w:rPr>
          <w:rFonts w:eastAsia="Calibri"/>
        </w:rPr>
        <w:t>0,05 – procentinė minimalios metinės algos dalis, kuri gali būti skirta kaupti lėšas daugiabučiam namui pagal privalomuosius reikalavimus atnaujinti;</w:t>
      </w:r>
    </w:p>
    <w:p w14:paraId="47B7A429" w14:textId="77777777" w:rsidR="00C61547" w:rsidRDefault="00106C6F">
      <w:pPr>
        <w:tabs>
          <w:tab w:val="left" w:pos="-3686"/>
        </w:tabs>
        <w:spacing w:line="276" w:lineRule="auto"/>
        <w:ind w:firstLine="720"/>
        <w:jc w:val="both"/>
        <w:rPr>
          <w:rFonts w:eastAsia="Calibri"/>
          <w:szCs w:val="24"/>
        </w:rPr>
      </w:pPr>
      <w:r>
        <w:rPr>
          <w:rFonts w:eastAsia="Calibri"/>
          <w:szCs w:val="24"/>
        </w:rPr>
        <w:t>45 – vidutinis socialinio būsto naudingasis plotas.</w:t>
      </w:r>
    </w:p>
    <w:p w14:paraId="6B218B17" w14:textId="77777777" w:rsidR="00C61547" w:rsidRDefault="00106C6F">
      <w:pPr>
        <w:spacing w:line="276" w:lineRule="auto"/>
        <w:ind w:firstLine="720"/>
        <w:jc w:val="both"/>
        <w:rPr>
          <w:rFonts w:eastAsia="Calibri"/>
        </w:rPr>
      </w:pPr>
      <w:r>
        <w:rPr>
          <w:rFonts w:eastAsia="Calibri"/>
        </w:rPr>
        <w:lastRenderedPageBreak/>
        <w:t>8. Jeigu pagal Aprašo 6 punktą apskaičiuotas mėnesinės kaupiamosios įmokos tarifas viršija maksimalų mėnesinės kaupiamosios įmokos tarifą, apskaičiuotą pagal Aprašo 7 punktą, ilginama lėšų kaupimo trukmė ir (arba) mažinama mėnesinės kaupiamosios įmokos tarifo ilgalaikiame plane nenumatytoms privalomosioms priemonėms finansuoti dalis atsižvelgiant į Aprašo 10 punkto nuostatas.</w:t>
      </w:r>
    </w:p>
    <w:p w14:paraId="00E1D52A" w14:textId="77777777" w:rsidR="00C61547" w:rsidRDefault="00106C6F">
      <w:pPr>
        <w:spacing w:line="276" w:lineRule="auto"/>
        <w:ind w:firstLine="720"/>
        <w:jc w:val="both"/>
        <w:rPr>
          <w:rFonts w:eastAsia="Calibri"/>
          <w:b/>
          <w:bCs/>
        </w:rPr>
      </w:pPr>
      <w:r>
        <w:rPr>
          <w:rFonts w:eastAsia="Calibri"/>
        </w:rPr>
        <w:t>9. Jeigu pagal ilgalaikį planą sukaupus lėšų paaiškėja, kad konkrečiai priemonei įgyvendinti reikia daugiau kaupiamųjų lėšų,</w:t>
      </w:r>
      <w:r>
        <w:rPr>
          <w:lang w:eastAsia="ar-SA"/>
        </w:rPr>
        <w:t xml:space="preserve"> bendrijos narių sprendimu, priimtu D</w:t>
      </w:r>
      <w:r>
        <w:rPr>
          <w:rFonts w:eastAsia="Calibri"/>
        </w:rPr>
        <w:t>augiabučių gyvenamųjų namų ir kitos paskirties pastatų savininkų bendrijų įstatyme</w:t>
      </w:r>
      <w:r>
        <w:rPr>
          <w:lang w:eastAsia="ar-SA"/>
        </w:rPr>
        <w:t xml:space="preserve"> nustatyta tvarka, kai bendrija neįsteigta – daugiabučio namo butų ir kitų patalpų savininkų sprendimu, priimtu Civilinio kodekso 4.85 straipsnyje nustatyta tvarka</w:t>
      </w:r>
      <w:r>
        <w:rPr>
          <w:rFonts w:eastAsia="Calibri"/>
        </w:rPr>
        <w:t>, šis lėšų trūkumas kompensuojamas ilgalaikiame plane nenumatytoms privalomosioms priemonėms finansuoti sukauptomis lėšomis arba kaupimas šiai priemonei finansuoti pratęsiamas pakeičiant ilgalaikį planą. Pagal ilgalaikį planą sukauptų lėšų likutis, atsiradęs įgyvendinus ilgalaikį planą arba jį pakeitus, pridedamas prie lėšų, sukauptų ilgalaikiame plane nenumatytoms privalomosioms priemonėms finansuoti.</w:t>
      </w:r>
    </w:p>
    <w:p w14:paraId="72BB5DA2" w14:textId="77777777" w:rsidR="00C61547" w:rsidRDefault="00106C6F">
      <w:pPr>
        <w:spacing w:line="276" w:lineRule="auto"/>
        <w:ind w:firstLine="720"/>
        <w:jc w:val="both"/>
        <w:rPr>
          <w:rFonts w:eastAsia="Calibri"/>
        </w:rPr>
      </w:pPr>
      <w:r>
        <w:rPr>
          <w:rFonts w:eastAsia="Calibri"/>
        </w:rPr>
        <w:t>10. Mėnesinės kaupiamosios įmokos tarifo ilgalaikiame plane nenumatytoms privalomosioms priemonėms finansuoti dalis (mėnesinės kaupiamosios įmokos tarifas, jei ilgalaikis planas nepatvirtintas) apskaičiuojama atsižvelgiant į daugiabučio namo naudingąjį plotą:</w:t>
      </w:r>
    </w:p>
    <w:p w14:paraId="19040498" w14:textId="77777777" w:rsidR="00C61547" w:rsidRDefault="00106C6F">
      <w:pPr>
        <w:spacing w:line="276" w:lineRule="auto"/>
        <w:ind w:firstLine="720"/>
        <w:jc w:val="both"/>
      </w:pPr>
      <w:r>
        <w:rPr>
          <w:rFonts w:eastAsia="Calibri"/>
        </w:rPr>
        <w:t>10.1. jei daugiabučio namo naudingasis plotas iki 3000 kv. m, taikoma ši formulė:</w:t>
      </w:r>
      <w:r>
        <w:t xml:space="preserve"> </w:t>
      </w:r>
    </w:p>
    <w:p w14:paraId="4A30FA15" w14:textId="77777777" w:rsidR="00C61547" w:rsidRDefault="00913BB2">
      <w:pPr>
        <w:spacing w:line="276" w:lineRule="auto"/>
        <w:ind w:firstLine="720"/>
        <w:jc w:val="both"/>
        <w:rPr>
          <w:szCs w:val="24"/>
        </w:rPr>
      </w:pPr>
      <m:oMathPara>
        <m:oMath>
          <m:sSub>
            <m:sSubPr>
              <m:ctrlPr>
                <w:rPr>
                  <w:rFonts w:ascii="Cambria Math" w:hAnsi="Cambria Math"/>
                  <w:i/>
                  <w:szCs w:val="24"/>
                </w:rPr>
              </m:ctrlPr>
            </m:sSubPr>
            <m:e>
              <m:r>
                <w:rPr>
                  <w:rFonts w:ascii="Cambria Math" w:hAnsi="Cambria Math"/>
                  <w:szCs w:val="24"/>
                </w:rPr>
                <m:t xml:space="preserve">              </m:t>
              </m:r>
              <m:r>
                <w:rPr>
                  <w:rFonts w:ascii="Cambria Math" w:hAnsi="Cambria Math"/>
                  <w:szCs w:val="24"/>
                </w:rPr>
                <m:t>q</m:t>
              </m:r>
            </m:e>
            <m:sub/>
          </m:sSub>
          <m:r>
            <w:rPr>
              <w:rFonts w:ascii="Cambria Math" w:hAnsi="Cambria Math"/>
              <w:szCs w:val="24"/>
              <w:lang w:val="en-US"/>
            </w:rPr>
            <m:t>=</m:t>
          </m:r>
          <m:f>
            <m:fPr>
              <m:ctrlPr>
                <w:rPr>
                  <w:rFonts w:ascii="Cambria Math" w:hAnsi="Cambria Math"/>
                  <w:i/>
                  <w:szCs w:val="24"/>
                </w:rPr>
              </m:ctrlPr>
            </m:fPr>
            <m:num>
              <m:r>
                <w:rPr>
                  <w:rFonts w:ascii="Cambria Math" w:hAnsi="Cambria Math"/>
                  <w:szCs w:val="24"/>
                </w:rPr>
                <m:t xml:space="preserve">0,005 × </m:t>
              </m:r>
              <m:r>
                <w:rPr>
                  <w:rFonts w:ascii="Cambria Math" w:hAnsi="Cambria Math"/>
                  <w:szCs w:val="24"/>
                </w:rPr>
                <m:t>MMA</m:t>
              </m:r>
            </m:num>
            <m:den>
              <m:r>
                <w:rPr>
                  <w:rFonts w:ascii="Cambria Math" w:hAnsi="Cambria Math"/>
                  <w:szCs w:val="24"/>
                </w:rPr>
                <m:t>45</m:t>
              </m:r>
            </m:den>
          </m:f>
          <m:r>
            <w:rPr>
              <w:rFonts w:ascii="Cambria Math" w:hAnsi="Cambria Math"/>
              <w:szCs w:val="24"/>
            </w:rPr>
            <m:t xml:space="preserve">,                              </m:t>
          </m:r>
        </m:oMath>
      </m:oMathPara>
    </w:p>
    <w:p w14:paraId="53F6E0AD" w14:textId="77777777" w:rsidR="00C61547" w:rsidRDefault="00106C6F">
      <w:pPr>
        <w:spacing w:line="276" w:lineRule="auto"/>
        <w:ind w:firstLine="720"/>
        <w:jc w:val="both"/>
        <w:rPr>
          <w:rFonts w:eastAsia="Calibri"/>
        </w:rPr>
      </w:pPr>
      <w:r>
        <w:rPr>
          <w:rFonts w:eastAsia="Calibri"/>
          <w:i/>
          <w:iCs/>
        </w:rPr>
        <w:t>MMA</w:t>
      </w:r>
      <w:r>
        <w:rPr>
          <w:rFonts w:eastAsia="Calibri"/>
        </w:rPr>
        <w:t xml:space="preserve"> ‒ Lietuvos Respublikos Vyriausybės nustatyta minimalioji mėnesinė alga (Eur);</w:t>
      </w:r>
    </w:p>
    <w:p w14:paraId="41164003" w14:textId="77777777" w:rsidR="00C61547" w:rsidRDefault="00106C6F">
      <w:pPr>
        <w:spacing w:line="276" w:lineRule="auto"/>
        <w:ind w:firstLine="720"/>
        <w:jc w:val="both"/>
        <w:rPr>
          <w:rFonts w:eastAsia="Calibri"/>
          <w:b/>
          <w:bCs/>
        </w:rPr>
      </w:pPr>
      <w:r>
        <w:rPr>
          <w:rFonts w:eastAsia="Calibri"/>
        </w:rPr>
        <w:t>0,005 – procentinė minimalios metinės algos dalis, kuri gali būti skirta kaupti lėšas daugiabučiam namui pagal privalomuosius reikalavimus atnaujinti;</w:t>
      </w:r>
    </w:p>
    <w:p w14:paraId="0DA293E7" w14:textId="77777777" w:rsidR="00C61547" w:rsidRDefault="00106C6F">
      <w:pPr>
        <w:tabs>
          <w:tab w:val="left" w:pos="-3686"/>
        </w:tabs>
        <w:spacing w:line="276" w:lineRule="auto"/>
        <w:ind w:firstLine="720"/>
        <w:jc w:val="both"/>
      </w:pPr>
      <w:r>
        <w:rPr>
          <w:rFonts w:eastAsia="Calibri"/>
          <w:szCs w:val="24"/>
        </w:rPr>
        <w:t>45 – vidutinis socialinio būsto naudingasis plotas;</w:t>
      </w:r>
    </w:p>
    <w:p w14:paraId="3110AC1B" w14:textId="77777777" w:rsidR="00C61547" w:rsidRDefault="00106C6F">
      <w:pPr>
        <w:spacing w:line="276" w:lineRule="auto"/>
        <w:ind w:firstLine="709"/>
        <w:jc w:val="both"/>
        <w:rPr>
          <w:rFonts w:eastAsia="Calibri"/>
        </w:rPr>
      </w:pPr>
      <w:r>
        <w:rPr>
          <w:rFonts w:eastAsia="Calibri"/>
        </w:rPr>
        <w:t>10.2. jei daugiabučio namo naudingasis plotas 3000 kv. m ir didesnis, taikoma ši formulė:</w:t>
      </w:r>
    </w:p>
    <w:p w14:paraId="67A76192" w14:textId="77777777" w:rsidR="00C61547" w:rsidRDefault="00913BB2">
      <w:pPr>
        <w:spacing w:line="276" w:lineRule="auto"/>
        <w:ind w:firstLine="709"/>
        <w:jc w:val="both"/>
        <w:rPr>
          <w:szCs w:val="24"/>
        </w:rPr>
      </w:pPr>
      <m:oMathPara>
        <m:oMath>
          <m:sSub>
            <m:sSubPr>
              <m:ctrlPr>
                <w:rPr>
                  <w:rFonts w:ascii="Cambria Math" w:hAnsi="Cambria Math"/>
                  <w:i/>
                  <w:szCs w:val="24"/>
                </w:rPr>
              </m:ctrlPr>
            </m:sSubPr>
            <m:e>
              <m:r>
                <w:rPr>
                  <w:rFonts w:ascii="Cambria Math" w:hAnsi="Cambria Math"/>
                  <w:szCs w:val="24"/>
                </w:rPr>
                <m:t xml:space="preserve">              </m:t>
              </m:r>
              <m:r>
                <w:rPr>
                  <w:rFonts w:ascii="Cambria Math" w:hAnsi="Cambria Math"/>
                  <w:szCs w:val="24"/>
                </w:rPr>
                <m:t>q</m:t>
              </m:r>
            </m:e>
            <m:sub/>
          </m:sSub>
          <m:r>
            <w:rPr>
              <w:rFonts w:ascii="Cambria Math" w:hAnsi="Cambria Math"/>
              <w:szCs w:val="24"/>
              <w:lang w:val="en-US"/>
            </w:rPr>
            <m:t>=</m:t>
          </m:r>
          <m:f>
            <m:fPr>
              <m:ctrlPr>
                <w:rPr>
                  <w:rFonts w:ascii="Cambria Math" w:hAnsi="Cambria Math"/>
                  <w:i/>
                  <w:szCs w:val="24"/>
                </w:rPr>
              </m:ctrlPr>
            </m:fPr>
            <m:num>
              <m:r>
                <w:rPr>
                  <w:rFonts w:ascii="Cambria Math" w:hAnsi="Cambria Math"/>
                  <w:szCs w:val="24"/>
                </w:rPr>
                <m:t xml:space="preserve">0,004 × </m:t>
              </m:r>
              <m:r>
                <w:rPr>
                  <w:rFonts w:ascii="Cambria Math" w:hAnsi="Cambria Math"/>
                  <w:szCs w:val="24"/>
                </w:rPr>
                <m:t>MMA</m:t>
              </m:r>
            </m:num>
            <m:den>
              <m:r>
                <w:rPr>
                  <w:rFonts w:ascii="Cambria Math" w:hAnsi="Cambria Math"/>
                  <w:szCs w:val="24"/>
                </w:rPr>
                <m:t>45</m:t>
              </m:r>
            </m:den>
          </m:f>
          <m:r>
            <w:rPr>
              <w:rFonts w:ascii="Cambria Math" w:hAnsi="Cambria Math"/>
              <w:szCs w:val="24"/>
            </w:rPr>
            <m:t xml:space="preserve">                              </m:t>
          </m:r>
        </m:oMath>
      </m:oMathPara>
    </w:p>
    <w:p w14:paraId="1B570F1C" w14:textId="77777777" w:rsidR="00C61547" w:rsidRDefault="00106C6F">
      <w:pPr>
        <w:spacing w:line="276" w:lineRule="auto"/>
        <w:ind w:firstLine="720"/>
        <w:jc w:val="both"/>
        <w:rPr>
          <w:rFonts w:eastAsia="Calibri"/>
        </w:rPr>
      </w:pPr>
      <w:r>
        <w:rPr>
          <w:rFonts w:eastAsia="Calibri"/>
          <w:i/>
          <w:iCs/>
        </w:rPr>
        <w:t>MMA</w:t>
      </w:r>
      <w:r>
        <w:rPr>
          <w:rFonts w:eastAsia="Calibri"/>
        </w:rPr>
        <w:t xml:space="preserve"> ‒ Lietuvos Respublikos Vyriausybės nustatyta minimalioji mėnesinė alga (Eur);</w:t>
      </w:r>
    </w:p>
    <w:p w14:paraId="75EB5C51" w14:textId="77777777" w:rsidR="00C61547" w:rsidRDefault="00106C6F">
      <w:pPr>
        <w:spacing w:line="276" w:lineRule="auto"/>
        <w:ind w:firstLine="720"/>
        <w:jc w:val="both"/>
        <w:rPr>
          <w:rFonts w:eastAsia="Calibri"/>
          <w:b/>
          <w:bCs/>
        </w:rPr>
      </w:pPr>
      <w:r>
        <w:rPr>
          <w:rFonts w:eastAsia="Calibri"/>
        </w:rPr>
        <w:t>0,004 – procentinė minimalios metinės algos dalis, kuri gali būti skirta kaupti lėšas daugiabučiam namui pagal privalomuosius reikalavimus atnaujinti;</w:t>
      </w:r>
    </w:p>
    <w:p w14:paraId="614183A3" w14:textId="77777777" w:rsidR="00C61547" w:rsidRDefault="00106C6F">
      <w:pPr>
        <w:tabs>
          <w:tab w:val="left" w:pos="-3686"/>
        </w:tabs>
        <w:spacing w:line="276" w:lineRule="auto"/>
        <w:ind w:firstLine="720"/>
        <w:jc w:val="both"/>
      </w:pPr>
      <w:r>
        <w:rPr>
          <w:rFonts w:eastAsia="Calibri"/>
          <w:szCs w:val="24"/>
        </w:rPr>
        <w:t>45 – vidutinis socialinio būsto naudingasis plotas;</w:t>
      </w:r>
    </w:p>
    <w:p w14:paraId="2963F9EE" w14:textId="77777777" w:rsidR="00C61547" w:rsidRDefault="00106C6F">
      <w:pPr>
        <w:spacing w:line="276" w:lineRule="auto"/>
        <w:ind w:firstLine="720"/>
        <w:jc w:val="both"/>
        <w:rPr>
          <w:rFonts w:eastAsia="Calibri"/>
        </w:rPr>
      </w:pPr>
      <w:r>
        <w:rPr>
          <w:lang w:eastAsia="ar-SA"/>
        </w:rPr>
        <w:t xml:space="preserve">10.3. </w:t>
      </w:r>
      <w:r>
        <w:rPr>
          <w:rFonts w:eastAsia="Calibri"/>
        </w:rPr>
        <w:t xml:space="preserve">Pagal Aprašo 10.1 ar 10.2 papunktį apskaičiuota mėnesinės kaupiamosios įmokos tarifo ilgalaikiame plane nenumatytoms privalomosioms priemonėms finansuoti dalis (mėnesinės kaupiamosios įmokos tarifas, jei ilgalaikis planas nepatvirtintas) gali būti padidinta (padidintas), </w:t>
      </w:r>
      <w:r>
        <w:t xml:space="preserve">neviršijant </w:t>
      </w:r>
      <w:r>
        <w:rPr>
          <w:rFonts w:eastAsia="Calibri"/>
        </w:rPr>
        <w:t>pagal Aprašo 7 punkt</w:t>
      </w:r>
      <w:r>
        <w:rPr>
          <w:lang w:eastAsia="ar-SA"/>
        </w:rPr>
        <w:t xml:space="preserve">ą </w:t>
      </w:r>
      <w:r>
        <w:t>apskaičiuojamo m</w:t>
      </w:r>
      <w:r>
        <w:rPr>
          <w:rFonts w:eastAsia="Calibri"/>
        </w:rPr>
        <w:t xml:space="preserve">aksimalaus mėnesinės kaupiamosios įmokos tarifo, </w:t>
      </w:r>
      <w:r>
        <w:rPr>
          <w:lang w:eastAsia="ar-SA"/>
        </w:rPr>
        <w:t>bendrijos narių sprendimu, priimtu D</w:t>
      </w:r>
      <w:r>
        <w:rPr>
          <w:rFonts w:eastAsia="Calibri"/>
        </w:rPr>
        <w:t>augiabučių gyvenamųjų namų ir kitos paskirties pastatų savininkų bendrijų įstatyme</w:t>
      </w:r>
      <w:r>
        <w:rPr>
          <w:lang w:eastAsia="ar-SA"/>
        </w:rPr>
        <w:t xml:space="preserve"> nustatyta tvarka, kai bendrija neįsteigta – daugiabučio namo butų ir kitų patalpų savininkų sprendimu, priimtu Civilinio kodekso 4.85 straipsnyje nustatyta tvarka</w:t>
      </w:r>
      <w:r>
        <w:rPr>
          <w:rFonts w:eastAsia="Calibri"/>
        </w:rPr>
        <w:t>.</w:t>
      </w:r>
    </w:p>
    <w:p w14:paraId="7B77E0A5" w14:textId="77777777" w:rsidR="00C61547" w:rsidRDefault="00106C6F">
      <w:pPr>
        <w:spacing w:line="276" w:lineRule="auto"/>
        <w:ind w:firstLine="720"/>
        <w:jc w:val="both"/>
      </w:pPr>
      <w:r>
        <w:t xml:space="preserve">10.4. Pastatyto naujo, rekonstruoto ar atnaujinto (modernizuoto) daugiabučio namo </w:t>
      </w:r>
      <w:r>
        <w:rPr>
          <w:lang w:eastAsia="ar-SA"/>
        </w:rPr>
        <w:t>bendrijos narių sprendimu, priimtu D</w:t>
      </w:r>
      <w:r>
        <w:rPr>
          <w:rFonts w:eastAsia="Calibri"/>
        </w:rPr>
        <w:t>augiabučių gyvenamųjų namų ir kitos paskirties pastatų savininkų bendrijų įstatyme</w:t>
      </w:r>
      <w:r>
        <w:rPr>
          <w:lang w:eastAsia="ar-SA"/>
        </w:rPr>
        <w:t xml:space="preserve"> nustatyta tvarka, kai bendrija neįsteigta – daugiabučio namo butų </w:t>
      </w:r>
      <w:r>
        <w:rPr>
          <w:lang w:eastAsia="ar-SA"/>
        </w:rPr>
        <w:lastRenderedPageBreak/>
        <w:t xml:space="preserve">ir kitų patalpų savininkų sprendimu, priimtu Civilinio kodekso 4.85 straipsnyje nustatyta tvarka, </w:t>
      </w:r>
      <w:r>
        <w:t xml:space="preserve">5 metus nuo naujo daugiabučio namo statybos užbaigimo arba pabaigus daugiabučio namo rekonstravimą ar atnaujinimą (modernizavimą) gali būti taikoma 50 procentų mažesnė (mažesnis) nei pagal Aprašo 10.1 ar 10.2 papunktį apskaičiuota mėnesinės kaupiamosios įmokos tarifo </w:t>
      </w:r>
      <w:r>
        <w:rPr>
          <w:rFonts w:eastAsia="Calibri"/>
        </w:rPr>
        <w:t>ilgalaikiame plane nenumatytoms privalomosioms priemonėms finansuoti</w:t>
      </w:r>
      <w:r>
        <w:t xml:space="preserve"> dalis </w:t>
      </w:r>
      <w:r>
        <w:rPr>
          <w:rFonts w:eastAsia="Calibri"/>
        </w:rPr>
        <w:t>(</w:t>
      </w:r>
      <w:r>
        <w:t>apskaičiuotas</w:t>
      </w:r>
      <w:r>
        <w:rPr>
          <w:rFonts w:eastAsia="Calibri"/>
        </w:rPr>
        <w:t xml:space="preserve"> mėnesinės kaupiamosios įmokos tarifas, jei ilgalaikis planas nepatvirtintas)</w:t>
      </w:r>
      <w:r>
        <w:t>.</w:t>
      </w:r>
    </w:p>
    <w:p w14:paraId="40F21B31" w14:textId="77777777" w:rsidR="00C61547" w:rsidRDefault="00C61547">
      <w:pPr>
        <w:spacing w:line="276" w:lineRule="auto"/>
        <w:ind w:firstLine="720"/>
        <w:jc w:val="both"/>
      </w:pPr>
    </w:p>
    <w:p w14:paraId="230A0D61" w14:textId="77777777" w:rsidR="00C61547" w:rsidRDefault="00106C6F">
      <w:pPr>
        <w:spacing w:line="276" w:lineRule="auto"/>
        <w:jc w:val="center"/>
        <w:rPr>
          <w:b/>
          <w:bCs/>
        </w:rPr>
      </w:pPr>
      <w:r>
        <w:rPr>
          <w:b/>
          <w:bCs/>
        </w:rPr>
        <w:t>III SKYRIUS</w:t>
      </w:r>
    </w:p>
    <w:p w14:paraId="53B00F44" w14:textId="77777777" w:rsidR="00C61547" w:rsidRDefault="00106C6F">
      <w:pPr>
        <w:tabs>
          <w:tab w:val="left" w:pos="-3686"/>
        </w:tabs>
        <w:spacing w:line="276" w:lineRule="auto"/>
        <w:jc w:val="center"/>
        <w:rPr>
          <w:b/>
          <w:szCs w:val="24"/>
        </w:rPr>
      </w:pPr>
      <w:r>
        <w:rPr>
          <w:b/>
          <w:szCs w:val="24"/>
        </w:rPr>
        <w:t>SUKAUPTŲ LĖŠŲ APSAUGA</w:t>
      </w:r>
    </w:p>
    <w:p w14:paraId="2446730E" w14:textId="77777777" w:rsidR="00C61547" w:rsidRDefault="00C61547">
      <w:pPr>
        <w:tabs>
          <w:tab w:val="left" w:pos="-3686"/>
        </w:tabs>
        <w:spacing w:line="276" w:lineRule="auto"/>
        <w:ind w:left="927" w:firstLine="709"/>
        <w:jc w:val="center"/>
        <w:rPr>
          <w:szCs w:val="24"/>
        </w:rPr>
      </w:pPr>
    </w:p>
    <w:p w14:paraId="3DB8A146" w14:textId="77777777" w:rsidR="00C61547" w:rsidRDefault="00106C6F">
      <w:pPr>
        <w:spacing w:line="276" w:lineRule="auto"/>
        <w:ind w:firstLine="720"/>
        <w:jc w:val="both"/>
        <w:rPr>
          <w:rFonts w:eastAsia="Calibri"/>
        </w:rPr>
      </w:pPr>
      <w:r>
        <w:rPr>
          <w:rFonts w:eastAsia="Calibri"/>
        </w:rPr>
        <w:t xml:space="preserve">11. Bendrija ar jungtinės veiklos sutartimi įgaliotas asmuo arba Civiliniame kodekse nustatyta tvarka paskirtas bendrojo naudojimo objektų administratorius (toliau – bendrojo naudojimo objektų valdytojas) </w:t>
      </w:r>
      <w:r>
        <w:t>banke arba kitoje kredito įstaigoje</w:t>
      </w:r>
      <w:r>
        <w:rPr>
          <w:rFonts w:eastAsia="Calibri"/>
        </w:rPr>
        <w:t xml:space="preserve"> atidaro daugiabučio namo butų ir kitų patalpų savininkų kaupiamųjų lėšų depozitinę sąskaitą. Banko ar kredito įstaigos sutartyje turi būti nurodyta, kad bendrojo naudojimo objektų valdytojas veikia atstovaudamas butų ir kitų patalpų savininkams.</w:t>
      </w:r>
    </w:p>
    <w:p w14:paraId="6F0FD551" w14:textId="77777777" w:rsidR="00C61547" w:rsidRDefault="00106C6F">
      <w:pPr>
        <w:spacing w:line="276" w:lineRule="auto"/>
        <w:ind w:firstLine="720"/>
        <w:jc w:val="both"/>
        <w:rPr>
          <w:rFonts w:eastAsia="Calibri"/>
        </w:rPr>
      </w:pPr>
      <w:r>
        <w:rPr>
          <w:rFonts w:eastAsia="Calibri"/>
          <w:spacing w:val="-4"/>
        </w:rPr>
        <w:t xml:space="preserve">12. Visos daugiabučio namo butų ir kitų patalpų savininkų kaupiamosios lėšos į apskaitą įtraukiamos ir tvarkomos kiekvienam daugiabučiam namui, kiekvienam buto ar kitos patalpos savininkui atskirai. Vadovaujantis </w:t>
      </w:r>
      <w:r w:rsidRPr="00913BB2">
        <w:rPr>
          <w:rFonts w:eastAsia="Calibri"/>
          <w:spacing w:val="-4"/>
        </w:rPr>
        <w:t>Indėlių ir įsipareigojimų investuotojams draudimo įstatymu</w:t>
      </w:r>
      <w:r>
        <w:rPr>
          <w:rFonts w:eastAsia="Calibri"/>
          <w:spacing w:val="-4"/>
        </w:rPr>
        <w:t xml:space="preserve">, bendrojo naudojimo objektų valdytojas, administruodamas kaupiamųjų lėšų depozitinėje sąskaitoje esančias lėšas, veikia daugiabučio namo butų ir kitų patalpų savininkų vardu kaip patikėtinis. Buto ar kitos patalpos savininko lėšų dalis nustatoma pagal bendrojo naudojimo objektų valdytojo vykdomos apskaitos duomenis. </w:t>
      </w:r>
    </w:p>
    <w:p w14:paraId="4D776AED" w14:textId="77777777" w:rsidR="00C61547" w:rsidRDefault="00106C6F">
      <w:pPr>
        <w:spacing w:line="276" w:lineRule="auto"/>
        <w:ind w:firstLine="720"/>
        <w:jc w:val="both"/>
        <w:rPr>
          <w:rFonts w:eastAsia="Calibri"/>
        </w:rPr>
      </w:pPr>
      <w:r>
        <w:rPr>
          <w:rFonts w:eastAsia="Calibri"/>
        </w:rPr>
        <w:t xml:space="preserve">13. Sukauptų lėšų naudojimas turi būti pagrįstas privalomaisiais reikalavimais, rangos darbų ar paslaugų pirkimo sutartimis, atliktų darbų priėmimo–perdavimo aktais, ūkio būdu atliktų darbų priėmimo aktais ir atitinkamais </w:t>
      </w:r>
      <w:r>
        <w:t>finansinės apskaitos</w:t>
      </w:r>
      <w:r>
        <w:rPr>
          <w:rFonts w:eastAsia="Calibri"/>
        </w:rPr>
        <w:t xml:space="preserve"> dokumentais.</w:t>
      </w:r>
    </w:p>
    <w:p w14:paraId="794DF284" w14:textId="77777777" w:rsidR="00C61547" w:rsidRDefault="00106C6F">
      <w:pPr>
        <w:spacing w:line="276" w:lineRule="auto"/>
        <w:ind w:firstLine="720"/>
        <w:jc w:val="both"/>
        <w:rPr>
          <w:b/>
          <w:bCs/>
        </w:rPr>
      </w:pPr>
      <w:r>
        <w:rPr>
          <w:rFonts w:eastAsia="Calibri"/>
        </w:rPr>
        <w:t>14. Mokestiniuose pranešimuose buto ar kitos patalpos savininko mėnesinės kaupiamosios įmokos dydis nurodomas pagal mėnesinės kaupiamosios įmokos tarifo dalis – atskirai kaupimo pagal ilgalaikį planą tarifo dalis ir priskaitytas dydis; atskirai kaupimo ilgalaikiame plane nenumatytoms privalomosioms priemonėms finansuoti tarifo dalis ir priskaitytas dydis. Bendrojo naudojimo objektų valdytojas turi teisę pareikšti ieškinį dėl priskaitytų kaupiamųjų lėšų skolos teisminio išieškojimo, patikėtojų pripažinimo indėlininkais ir draudimo išmokų jiems išmokėjimo kredito įstaigos bankroto atveju. Pagal tokius ieškinius priteistos lėšos pervedamos į bendrojo naudojimo objektų valdytojo nurodytą kaupiamųjų lėšų depozitinę sąskaitą.</w:t>
      </w:r>
    </w:p>
    <w:p w14:paraId="3E5DABC9" w14:textId="77777777" w:rsidR="00C61547" w:rsidRDefault="00106C6F">
      <w:pPr>
        <w:spacing w:line="276" w:lineRule="auto"/>
        <w:ind w:firstLine="720"/>
        <w:jc w:val="both"/>
        <w:rPr>
          <w:lang w:eastAsia="ar-SA"/>
        </w:rPr>
      </w:pPr>
      <w:r>
        <w:rPr>
          <w:lang w:eastAsia="ar-SA"/>
        </w:rPr>
        <w:t>15. Daugiabučio namo butų ir kitų patalpų savininkai kaupiamąsias įmokas turi sumokėti kiekvieną mėnesį ne vėliau kaip iki kito mėnesio paskutinės kalendorinės dienos, jeigu bendrijos nariai D</w:t>
      </w:r>
      <w:r>
        <w:rPr>
          <w:rFonts w:eastAsia="Calibri"/>
        </w:rPr>
        <w:t>augiabučių gyvenamųjų namų ir kitos paskirties pastatų savininkų bendrijų įstatyme</w:t>
      </w:r>
      <w:r>
        <w:rPr>
          <w:lang w:eastAsia="ar-SA"/>
        </w:rPr>
        <w:t xml:space="preserve"> nustatyta tvarka, kai bendrija neįsteigta – daugiabučio namo butų ir kitų patalpų savininkai Civilinio kodekso 4.85 straipsnyje nustatyta tvarka nenustato kito termino.</w:t>
      </w:r>
    </w:p>
    <w:p w14:paraId="2A942559" w14:textId="77777777" w:rsidR="00C61547" w:rsidRDefault="00106C6F">
      <w:pPr>
        <w:spacing w:line="276" w:lineRule="auto"/>
        <w:ind w:firstLine="720"/>
        <w:jc w:val="both"/>
        <w:rPr>
          <w:lang w:eastAsia="ar-SA"/>
        </w:rPr>
      </w:pPr>
      <w:r>
        <w:rPr>
          <w:lang w:eastAsia="ar-SA"/>
        </w:rPr>
        <w:t>16. Bendrojo naudojimo objektų valdytojas ne vėliau kaip per 6 mėnesius, pasibaigus finansiniams metams, bendrojo naudojimo objektų valdytojo mokestiniuose pranešimuose atskirai kiekvienam buto ar kitos patalpos savininkui pateikia informaciją apie finansiniais metais jam priskaitytus ir iš jo gautus kaupiamuosius įnašus, šių įnašų permokos ar nepriemokos dydžius, nepanaudotų jo kaupiamųjų įnašų likutį finansinių metų pabaigoje.</w:t>
      </w:r>
    </w:p>
    <w:p w14:paraId="10698D51" w14:textId="77777777" w:rsidR="00C61547" w:rsidRDefault="00C61547">
      <w:pPr>
        <w:spacing w:line="276" w:lineRule="auto"/>
        <w:jc w:val="center"/>
        <w:rPr>
          <w:lang w:eastAsia="ar-SA"/>
        </w:rPr>
      </w:pPr>
    </w:p>
    <w:p w14:paraId="3C5F28EE" w14:textId="77777777" w:rsidR="00C61547" w:rsidRDefault="00106C6F">
      <w:pPr>
        <w:spacing w:line="276" w:lineRule="auto"/>
        <w:jc w:val="center"/>
        <w:rPr>
          <w:b/>
          <w:bCs/>
        </w:rPr>
      </w:pPr>
      <w:r>
        <w:rPr>
          <w:b/>
          <w:bCs/>
        </w:rPr>
        <w:t>IV SKYRIUS</w:t>
      </w:r>
    </w:p>
    <w:p w14:paraId="29B1F766" w14:textId="77777777" w:rsidR="00C61547" w:rsidRDefault="00106C6F">
      <w:pPr>
        <w:spacing w:line="276" w:lineRule="auto"/>
        <w:jc w:val="center"/>
        <w:rPr>
          <w:b/>
          <w:bCs/>
        </w:rPr>
      </w:pPr>
      <w:r>
        <w:rPr>
          <w:b/>
          <w:bCs/>
        </w:rPr>
        <w:t>BAIGIAMOSIOS NUOSTATOS</w:t>
      </w:r>
    </w:p>
    <w:p w14:paraId="2B6CBBBA" w14:textId="77777777" w:rsidR="00C61547" w:rsidRDefault="00C61547">
      <w:pPr>
        <w:spacing w:line="276" w:lineRule="auto"/>
        <w:jc w:val="center"/>
        <w:rPr>
          <w:rFonts w:eastAsia="Calibri"/>
        </w:rPr>
      </w:pPr>
    </w:p>
    <w:p w14:paraId="056AA6D7" w14:textId="77777777" w:rsidR="00C61547" w:rsidRDefault="00106C6F">
      <w:pPr>
        <w:spacing w:line="276" w:lineRule="auto"/>
        <w:ind w:firstLine="720"/>
        <w:jc w:val="both"/>
      </w:pPr>
      <w:r>
        <w:t>17. Už daugiabučio namo butų ir kitų patalpų savininkų sukauptų lėšų, skirtų namui (statiniui) atnaujinti pagal privalomuosius reikalavimus, apsaugos reikalavimų nesilaikymą ar naudojimą ne pagal paskirtį bendrijos pirmininkui, kai bendrija neįsteigta – daugiabučio namo butų ir kitų patalpų savininkų jungtinės veiklos sutarties dalyvių įgaliotam asmeniui ar Civilinio kodekso nustatyta tvarka paskirtam bendrojo naudojimo objektų administratoriui – fiziniam asmeniui arba juridinio asmens vadovui – taikoma atsakomybė Lietuvos Respublikos administracinių nusižengimų kodekse nustatyta tvarka.</w:t>
      </w:r>
    </w:p>
    <w:p w14:paraId="678F3888" w14:textId="77777777" w:rsidR="00C61547" w:rsidRDefault="00106C6F" w:rsidP="00106C6F">
      <w:pPr>
        <w:tabs>
          <w:tab w:val="left" w:pos="6237"/>
        </w:tabs>
        <w:jc w:val="center"/>
      </w:pPr>
      <w:r>
        <w:t>––––––––––––––––––––</w:t>
      </w:r>
    </w:p>
    <w:p w14:paraId="7C789C9C" w14:textId="77777777" w:rsidR="00106C6F" w:rsidRDefault="00106C6F">
      <w:pPr>
        <w:ind w:left="5670"/>
        <w:sectPr w:rsidR="00106C6F">
          <w:pgSz w:w="11906" w:h="16838" w:code="9"/>
          <w:pgMar w:top="1134" w:right="1134" w:bottom="1134" w:left="1701" w:header="567" w:footer="567" w:gutter="0"/>
          <w:pgNumType w:start="1"/>
          <w:cols w:space="1296"/>
          <w:titlePg/>
        </w:sectPr>
      </w:pPr>
    </w:p>
    <w:p w14:paraId="3A1CF965" w14:textId="77777777" w:rsidR="00106C6F" w:rsidRDefault="00106C6F">
      <w:pPr>
        <w:ind w:left="5670"/>
      </w:pPr>
      <w:r>
        <w:lastRenderedPageBreak/>
        <w:t xml:space="preserve">Daugiabučio namo butų ir kitų </w:t>
      </w:r>
    </w:p>
    <w:p w14:paraId="049860C0" w14:textId="77777777" w:rsidR="00106C6F" w:rsidRDefault="00106C6F">
      <w:pPr>
        <w:ind w:left="5670"/>
        <w:rPr>
          <w:szCs w:val="24"/>
          <w:lang w:val="lt"/>
        </w:rPr>
      </w:pPr>
      <w:r>
        <w:t>patalpų savininkų lėšų,</w:t>
      </w:r>
      <w:r>
        <w:rPr>
          <w:szCs w:val="24"/>
          <w:lang w:val="lt"/>
        </w:rPr>
        <w:t xml:space="preserve"> skiriamų </w:t>
      </w:r>
    </w:p>
    <w:p w14:paraId="64C45D0C" w14:textId="77777777" w:rsidR="00106C6F" w:rsidRDefault="00106C6F">
      <w:pPr>
        <w:ind w:left="5670"/>
        <w:rPr>
          <w:szCs w:val="24"/>
          <w:lang w:val="lt"/>
        </w:rPr>
      </w:pPr>
      <w:r>
        <w:rPr>
          <w:szCs w:val="24"/>
          <w:lang w:val="lt"/>
        </w:rPr>
        <w:t xml:space="preserve">namui (statiniui) atnaujinti pagal </w:t>
      </w:r>
    </w:p>
    <w:p w14:paraId="5C327125" w14:textId="77777777" w:rsidR="00106C6F" w:rsidRDefault="00106C6F">
      <w:pPr>
        <w:ind w:left="5670"/>
        <w:rPr>
          <w:szCs w:val="24"/>
          <w:lang w:val="lt"/>
        </w:rPr>
      </w:pPr>
      <w:r>
        <w:rPr>
          <w:szCs w:val="24"/>
          <w:lang w:val="lt"/>
        </w:rPr>
        <w:t xml:space="preserve">privalomuosius statinių naudojimo </w:t>
      </w:r>
    </w:p>
    <w:p w14:paraId="162B85D7" w14:textId="77777777" w:rsidR="00106C6F" w:rsidRDefault="00106C6F">
      <w:pPr>
        <w:ind w:left="5670"/>
      </w:pPr>
      <w:r>
        <w:rPr>
          <w:szCs w:val="24"/>
          <w:lang w:val="lt"/>
        </w:rPr>
        <w:t>ir priežiūros reikalavimus,</w:t>
      </w:r>
      <w:r>
        <w:t xml:space="preserve"> </w:t>
      </w:r>
    </w:p>
    <w:p w14:paraId="1EBA4414" w14:textId="77777777" w:rsidR="00106C6F" w:rsidRDefault="00106C6F">
      <w:pPr>
        <w:ind w:left="5670"/>
      </w:pPr>
      <w:r>
        <w:t xml:space="preserve">kaupimo, dydžio apskaičiavimo ir </w:t>
      </w:r>
    </w:p>
    <w:p w14:paraId="6AD264DE" w14:textId="77777777" w:rsidR="00106C6F" w:rsidRDefault="00106C6F">
      <w:pPr>
        <w:ind w:left="5670"/>
      </w:pPr>
      <w:r>
        <w:t xml:space="preserve">sukauptų lėšų apsaugos tvarkos </w:t>
      </w:r>
    </w:p>
    <w:p w14:paraId="24747BEE" w14:textId="77777777" w:rsidR="00C61547" w:rsidRDefault="00106C6F">
      <w:pPr>
        <w:ind w:left="5670"/>
      </w:pPr>
      <w:r>
        <w:t>aprašo</w:t>
      </w:r>
    </w:p>
    <w:p w14:paraId="23C326DD" w14:textId="77777777" w:rsidR="00C61547" w:rsidRDefault="00106C6F">
      <w:pPr>
        <w:ind w:left="5670"/>
      </w:pPr>
      <w:r>
        <w:t>priedas</w:t>
      </w:r>
    </w:p>
    <w:p w14:paraId="10B6B81E" w14:textId="77777777" w:rsidR="00C61547" w:rsidRDefault="00C61547">
      <w:pPr>
        <w:tabs>
          <w:tab w:val="left" w:pos="-426"/>
        </w:tabs>
      </w:pPr>
    </w:p>
    <w:p w14:paraId="4CC2037B" w14:textId="77777777" w:rsidR="00C61547" w:rsidRDefault="00C61547">
      <w:pPr>
        <w:tabs>
          <w:tab w:val="left" w:pos="-426"/>
        </w:tabs>
      </w:pPr>
    </w:p>
    <w:p w14:paraId="4A0C6272" w14:textId="77777777" w:rsidR="00C61547" w:rsidRDefault="00C61547">
      <w:pPr>
        <w:tabs>
          <w:tab w:val="left" w:pos="-426"/>
        </w:tabs>
      </w:pPr>
    </w:p>
    <w:p w14:paraId="5829844F" w14:textId="77777777" w:rsidR="00C61547" w:rsidRDefault="00106C6F">
      <w:pPr>
        <w:tabs>
          <w:tab w:val="left" w:pos="-3686"/>
        </w:tabs>
        <w:spacing w:line="276" w:lineRule="auto"/>
        <w:jc w:val="center"/>
        <w:rPr>
          <w:rFonts w:eastAsia="Calibri"/>
          <w:b/>
          <w:szCs w:val="24"/>
        </w:rPr>
      </w:pPr>
      <w:r>
        <w:rPr>
          <w:rFonts w:eastAsia="Calibri"/>
          <w:b/>
          <w:szCs w:val="24"/>
        </w:rPr>
        <w:t>MĖNESINĖS KAUPIAMOSIOS ĮMOKOS TARIFO APSKAIČIAVIMO PAVYZDYS</w:t>
      </w:r>
    </w:p>
    <w:p w14:paraId="4BC59CD2" w14:textId="77777777" w:rsidR="00C61547" w:rsidRDefault="00C61547">
      <w:pPr>
        <w:rPr>
          <w:sz w:val="18"/>
          <w:szCs w:val="18"/>
        </w:rPr>
      </w:pPr>
    </w:p>
    <w:p w14:paraId="771E011F" w14:textId="77777777" w:rsidR="00C61547" w:rsidRDefault="00106C6F">
      <w:pPr>
        <w:spacing w:line="276" w:lineRule="auto"/>
        <w:ind w:firstLine="720"/>
        <w:jc w:val="both"/>
        <w:rPr>
          <w:rFonts w:eastAsia="Calibri"/>
        </w:rPr>
      </w:pPr>
      <w:r>
        <w:rPr>
          <w:rFonts w:eastAsia="Calibri"/>
        </w:rPr>
        <w:t xml:space="preserve">Daugiabutis namas: 5 aukštų, 30 butų (kitų patalpų nėra), namo patalpų naudingasis plotas ‒ 1 800 kv. m, pastatytas 1980 m. </w:t>
      </w:r>
    </w:p>
    <w:p w14:paraId="551E047C" w14:textId="77777777" w:rsidR="00C61547" w:rsidRDefault="00C61547">
      <w:pPr>
        <w:spacing w:line="276" w:lineRule="auto"/>
        <w:rPr>
          <w:sz w:val="18"/>
          <w:szCs w:val="18"/>
        </w:rPr>
      </w:pPr>
    </w:p>
    <w:p w14:paraId="7B9EFD8F" w14:textId="77777777" w:rsidR="00C61547" w:rsidRDefault="00C61547">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223"/>
        <w:gridCol w:w="986"/>
        <w:gridCol w:w="1150"/>
        <w:gridCol w:w="890"/>
        <w:gridCol w:w="931"/>
        <w:gridCol w:w="1113"/>
        <w:gridCol w:w="1159"/>
      </w:tblGrid>
      <w:tr w:rsidR="00C61547" w14:paraId="435E8955" w14:textId="77777777" w:rsidTr="00106C6F">
        <w:trPr>
          <w:trHeight w:val="300"/>
        </w:trPr>
        <w:tc>
          <w:tcPr>
            <w:tcW w:w="5000" w:type="pct"/>
            <w:gridSpan w:val="8"/>
          </w:tcPr>
          <w:p w14:paraId="1D724219" w14:textId="77777777" w:rsidR="00C61547" w:rsidRDefault="00C61547"/>
        </w:tc>
      </w:tr>
      <w:tr w:rsidR="00C61547" w14:paraId="246D322B" w14:textId="77777777" w:rsidTr="00106C6F">
        <w:trPr>
          <w:trHeight w:val="300"/>
        </w:trPr>
        <w:tc>
          <w:tcPr>
            <w:tcW w:w="5000" w:type="pct"/>
            <w:gridSpan w:val="8"/>
          </w:tcPr>
          <w:p w14:paraId="1CC749F6" w14:textId="77777777" w:rsidR="00C61547" w:rsidRDefault="00106C6F">
            <w:pPr>
              <w:ind w:left="314" w:hanging="284"/>
              <w:jc w:val="both"/>
              <w:rPr>
                <w:sz w:val="22"/>
                <w:szCs w:val="22"/>
              </w:rPr>
            </w:pPr>
            <w:r>
              <w:rPr>
                <w:sz w:val="22"/>
                <w:szCs w:val="22"/>
              </w:rPr>
              <w:t>1.</w:t>
            </w:r>
            <w:r>
              <w:tab/>
            </w:r>
            <w:r>
              <w:rPr>
                <w:sz w:val="22"/>
                <w:szCs w:val="22"/>
              </w:rPr>
              <w:t xml:space="preserve">Lėšų kaupimas </w:t>
            </w:r>
            <w:r>
              <w:rPr>
                <w:rFonts w:eastAsia="Calibri"/>
                <w:sz w:val="22"/>
                <w:szCs w:val="22"/>
              </w:rPr>
              <w:t>ilgalaikiame plane numatytoms</w:t>
            </w:r>
            <w:r>
              <w:rPr>
                <w:sz w:val="22"/>
                <w:szCs w:val="22"/>
              </w:rPr>
              <w:t xml:space="preserve"> privalomosioms priemonėms finansuoti</w:t>
            </w:r>
          </w:p>
        </w:tc>
      </w:tr>
      <w:tr w:rsidR="00C61547" w14:paraId="3D44B54D" w14:textId="77777777" w:rsidTr="00106C6F">
        <w:trPr>
          <w:trHeight w:val="300"/>
        </w:trPr>
        <w:tc>
          <w:tcPr>
            <w:tcW w:w="775" w:type="pct"/>
            <w:vMerge w:val="restart"/>
            <w:vAlign w:val="center"/>
          </w:tcPr>
          <w:p w14:paraId="0C2A6042" w14:textId="77777777" w:rsidR="00C61547" w:rsidRDefault="00106C6F">
            <w:pPr>
              <w:jc w:val="center"/>
              <w:rPr>
                <w:sz w:val="22"/>
                <w:szCs w:val="22"/>
              </w:rPr>
            </w:pPr>
            <w:r>
              <w:rPr>
                <w:sz w:val="22"/>
                <w:szCs w:val="22"/>
              </w:rPr>
              <w:t>Ilgalaikiame plane numatytos priemonės</w:t>
            </w:r>
          </w:p>
        </w:tc>
        <w:tc>
          <w:tcPr>
            <w:tcW w:w="698" w:type="pct"/>
            <w:vMerge w:val="restart"/>
          </w:tcPr>
          <w:p w14:paraId="50BB8623" w14:textId="77777777" w:rsidR="00C61547" w:rsidRDefault="00106C6F">
            <w:pPr>
              <w:jc w:val="center"/>
              <w:rPr>
                <w:sz w:val="22"/>
                <w:szCs w:val="22"/>
              </w:rPr>
            </w:pPr>
            <w:r>
              <w:rPr>
                <w:sz w:val="22"/>
                <w:szCs w:val="22"/>
              </w:rPr>
              <w:t>Lėšų kaupimo pradžia,</w:t>
            </w:r>
          </w:p>
          <w:p w14:paraId="4515D577" w14:textId="77777777" w:rsidR="00C61547" w:rsidRDefault="00106C6F">
            <w:pPr>
              <w:jc w:val="center"/>
              <w:rPr>
                <w:sz w:val="22"/>
                <w:szCs w:val="22"/>
              </w:rPr>
            </w:pPr>
            <w:r>
              <w:rPr>
                <w:sz w:val="22"/>
                <w:szCs w:val="22"/>
              </w:rPr>
              <w:t>m., mėn., d.</w:t>
            </w:r>
          </w:p>
        </w:tc>
        <w:tc>
          <w:tcPr>
            <w:tcW w:w="520" w:type="pct"/>
            <w:vMerge w:val="restart"/>
          </w:tcPr>
          <w:p w14:paraId="71AB0D85" w14:textId="77777777" w:rsidR="00C61547" w:rsidRDefault="00106C6F">
            <w:pPr>
              <w:jc w:val="center"/>
              <w:rPr>
                <w:sz w:val="22"/>
                <w:szCs w:val="22"/>
              </w:rPr>
            </w:pPr>
            <w:r>
              <w:rPr>
                <w:sz w:val="22"/>
                <w:szCs w:val="22"/>
              </w:rPr>
              <w:t>Lėšų kaupimo trukmė,</w:t>
            </w:r>
          </w:p>
          <w:p w14:paraId="4A32989C" w14:textId="77777777" w:rsidR="00C61547" w:rsidRDefault="00106C6F">
            <w:pPr>
              <w:jc w:val="center"/>
              <w:rPr>
                <w:sz w:val="22"/>
                <w:szCs w:val="22"/>
              </w:rPr>
            </w:pPr>
            <w:r>
              <w:rPr>
                <w:sz w:val="22"/>
                <w:szCs w:val="22"/>
              </w:rPr>
              <w:t>mėn.</w:t>
            </w:r>
          </w:p>
        </w:tc>
        <w:tc>
          <w:tcPr>
            <w:tcW w:w="658" w:type="pct"/>
            <w:vMerge w:val="restart"/>
          </w:tcPr>
          <w:p w14:paraId="121564BA" w14:textId="77777777" w:rsidR="00C61547" w:rsidRDefault="00106C6F">
            <w:pPr>
              <w:jc w:val="center"/>
              <w:rPr>
                <w:sz w:val="22"/>
                <w:szCs w:val="22"/>
              </w:rPr>
            </w:pPr>
            <w:r>
              <w:rPr>
                <w:sz w:val="22"/>
                <w:szCs w:val="22"/>
              </w:rPr>
              <w:t>Lėšų kaupimo pabaiga,</w:t>
            </w:r>
          </w:p>
          <w:p w14:paraId="59C5F50E" w14:textId="77777777" w:rsidR="00C61547" w:rsidRDefault="00106C6F">
            <w:pPr>
              <w:jc w:val="center"/>
              <w:rPr>
                <w:sz w:val="22"/>
                <w:szCs w:val="22"/>
              </w:rPr>
            </w:pPr>
            <w:r>
              <w:rPr>
                <w:sz w:val="22"/>
                <w:szCs w:val="22"/>
              </w:rPr>
              <w:t>m., mėn., d.</w:t>
            </w:r>
          </w:p>
        </w:tc>
        <w:tc>
          <w:tcPr>
            <w:tcW w:w="1029" w:type="pct"/>
            <w:gridSpan w:val="2"/>
          </w:tcPr>
          <w:p w14:paraId="1A5710DA" w14:textId="77777777" w:rsidR="00C61547" w:rsidRDefault="00106C6F">
            <w:pPr>
              <w:jc w:val="center"/>
              <w:rPr>
                <w:sz w:val="22"/>
                <w:szCs w:val="22"/>
              </w:rPr>
            </w:pPr>
            <w:r>
              <w:rPr>
                <w:sz w:val="22"/>
                <w:szCs w:val="22"/>
              </w:rPr>
              <w:t>Priemonių įgyvendinimo orientacinė kaina</w:t>
            </w:r>
          </w:p>
        </w:tc>
        <w:tc>
          <w:tcPr>
            <w:tcW w:w="657" w:type="pct"/>
            <w:vMerge w:val="restart"/>
          </w:tcPr>
          <w:p w14:paraId="192E2ADA" w14:textId="77777777" w:rsidR="00C61547" w:rsidRDefault="00106C6F">
            <w:pPr>
              <w:jc w:val="center"/>
              <w:rPr>
                <w:color w:val="000000"/>
                <w:sz w:val="22"/>
                <w:szCs w:val="22"/>
              </w:rPr>
            </w:pPr>
            <w:r>
              <w:rPr>
                <w:sz w:val="22"/>
                <w:szCs w:val="22"/>
              </w:rPr>
              <w:t xml:space="preserve">Tarifas </w:t>
            </w:r>
            <w:r>
              <w:rPr>
                <w:color w:val="000000"/>
                <w:sz w:val="22"/>
                <w:szCs w:val="22"/>
              </w:rPr>
              <w:t>nuo 2025-06-01</w:t>
            </w:r>
          </w:p>
          <w:p w14:paraId="1B2EB4C1" w14:textId="77777777" w:rsidR="00C61547" w:rsidRDefault="00106C6F">
            <w:pPr>
              <w:jc w:val="center"/>
              <w:rPr>
                <w:color w:val="000000"/>
                <w:sz w:val="22"/>
                <w:szCs w:val="22"/>
              </w:rPr>
            </w:pPr>
            <w:r>
              <w:rPr>
                <w:color w:val="000000"/>
                <w:sz w:val="22"/>
                <w:szCs w:val="22"/>
              </w:rPr>
              <w:t>iki</w:t>
            </w:r>
          </w:p>
          <w:p w14:paraId="69D9157F" w14:textId="77777777" w:rsidR="00C61547" w:rsidRDefault="00106C6F">
            <w:pPr>
              <w:jc w:val="center"/>
              <w:rPr>
                <w:sz w:val="22"/>
                <w:szCs w:val="22"/>
              </w:rPr>
            </w:pPr>
            <w:r>
              <w:rPr>
                <w:color w:val="000000"/>
                <w:sz w:val="22"/>
                <w:szCs w:val="22"/>
              </w:rPr>
              <w:t>2027-11-30</w:t>
            </w:r>
            <w:r>
              <w:rPr>
                <w:sz w:val="22"/>
                <w:szCs w:val="22"/>
              </w:rPr>
              <w:t>, Eur/kv. m/mėn.</w:t>
            </w:r>
          </w:p>
        </w:tc>
        <w:tc>
          <w:tcPr>
            <w:tcW w:w="663" w:type="pct"/>
            <w:vMerge w:val="restart"/>
          </w:tcPr>
          <w:p w14:paraId="481A8A9E" w14:textId="77777777" w:rsidR="00C61547" w:rsidRDefault="00106C6F">
            <w:pPr>
              <w:jc w:val="center"/>
              <w:rPr>
                <w:sz w:val="22"/>
                <w:szCs w:val="22"/>
              </w:rPr>
            </w:pPr>
            <w:r>
              <w:rPr>
                <w:sz w:val="22"/>
                <w:szCs w:val="22"/>
              </w:rPr>
              <w:t xml:space="preserve">Tarifas nuo 2027-12-01 iki 2028-10-31, </w:t>
            </w:r>
            <w:r>
              <w:rPr>
                <w:spacing w:val="-4"/>
                <w:sz w:val="22"/>
                <w:szCs w:val="22"/>
              </w:rPr>
              <w:t>Eur/kv. m/mėn.</w:t>
            </w:r>
          </w:p>
        </w:tc>
      </w:tr>
      <w:tr w:rsidR="00C61547" w14:paraId="7B220AE8" w14:textId="77777777" w:rsidTr="00106C6F">
        <w:trPr>
          <w:trHeight w:val="300"/>
        </w:trPr>
        <w:tc>
          <w:tcPr>
            <w:tcW w:w="775" w:type="pct"/>
            <w:vMerge/>
            <w:vAlign w:val="center"/>
          </w:tcPr>
          <w:p w14:paraId="0FEC2604" w14:textId="77777777" w:rsidR="00C61547" w:rsidRDefault="00C61547">
            <w:pPr>
              <w:jc w:val="center"/>
              <w:rPr>
                <w:sz w:val="22"/>
                <w:szCs w:val="22"/>
              </w:rPr>
            </w:pPr>
          </w:p>
        </w:tc>
        <w:tc>
          <w:tcPr>
            <w:tcW w:w="698" w:type="pct"/>
            <w:vMerge/>
            <w:vAlign w:val="center"/>
          </w:tcPr>
          <w:p w14:paraId="717B0F2A" w14:textId="77777777" w:rsidR="00C61547" w:rsidRDefault="00C61547">
            <w:pPr>
              <w:jc w:val="center"/>
              <w:rPr>
                <w:sz w:val="22"/>
                <w:szCs w:val="22"/>
              </w:rPr>
            </w:pPr>
          </w:p>
        </w:tc>
        <w:tc>
          <w:tcPr>
            <w:tcW w:w="520" w:type="pct"/>
            <w:vMerge/>
          </w:tcPr>
          <w:p w14:paraId="1901A271" w14:textId="77777777" w:rsidR="00C61547" w:rsidRDefault="00C61547">
            <w:pPr>
              <w:jc w:val="center"/>
              <w:rPr>
                <w:sz w:val="22"/>
                <w:szCs w:val="22"/>
              </w:rPr>
            </w:pPr>
          </w:p>
        </w:tc>
        <w:tc>
          <w:tcPr>
            <w:tcW w:w="658" w:type="pct"/>
            <w:vMerge/>
          </w:tcPr>
          <w:p w14:paraId="6EC176FB" w14:textId="77777777" w:rsidR="00C61547" w:rsidRDefault="00C61547">
            <w:pPr>
              <w:jc w:val="center"/>
              <w:rPr>
                <w:sz w:val="22"/>
                <w:szCs w:val="22"/>
              </w:rPr>
            </w:pPr>
          </w:p>
        </w:tc>
        <w:tc>
          <w:tcPr>
            <w:tcW w:w="514" w:type="pct"/>
          </w:tcPr>
          <w:p w14:paraId="0EFE624A" w14:textId="77777777" w:rsidR="00C61547" w:rsidRDefault="00106C6F">
            <w:pPr>
              <w:jc w:val="center"/>
              <w:rPr>
                <w:sz w:val="22"/>
                <w:szCs w:val="22"/>
              </w:rPr>
            </w:pPr>
            <w:r>
              <w:rPr>
                <w:sz w:val="22"/>
                <w:szCs w:val="22"/>
              </w:rPr>
              <w:t>Eur</w:t>
            </w:r>
          </w:p>
        </w:tc>
        <w:tc>
          <w:tcPr>
            <w:tcW w:w="515" w:type="pct"/>
          </w:tcPr>
          <w:p w14:paraId="500D61F6" w14:textId="77777777" w:rsidR="00C61547" w:rsidRDefault="00106C6F">
            <w:pPr>
              <w:jc w:val="center"/>
              <w:rPr>
                <w:spacing w:val="-4"/>
                <w:sz w:val="22"/>
                <w:szCs w:val="22"/>
              </w:rPr>
            </w:pPr>
            <w:r>
              <w:rPr>
                <w:spacing w:val="-4"/>
                <w:sz w:val="22"/>
                <w:szCs w:val="22"/>
              </w:rPr>
              <w:t>Eur/kv. m</w:t>
            </w:r>
          </w:p>
        </w:tc>
        <w:tc>
          <w:tcPr>
            <w:tcW w:w="657" w:type="pct"/>
            <w:vMerge/>
          </w:tcPr>
          <w:p w14:paraId="2C73F33C" w14:textId="77777777" w:rsidR="00C61547" w:rsidRDefault="00C61547"/>
        </w:tc>
        <w:tc>
          <w:tcPr>
            <w:tcW w:w="663" w:type="pct"/>
            <w:vMerge/>
            <w:vAlign w:val="center"/>
          </w:tcPr>
          <w:p w14:paraId="7747089B" w14:textId="77777777" w:rsidR="00C61547" w:rsidRDefault="00C61547">
            <w:pPr>
              <w:jc w:val="center"/>
              <w:rPr>
                <w:sz w:val="22"/>
                <w:szCs w:val="22"/>
              </w:rPr>
            </w:pPr>
          </w:p>
        </w:tc>
      </w:tr>
      <w:tr w:rsidR="00C61547" w14:paraId="0BD4DD9E" w14:textId="77777777" w:rsidTr="00106C6F">
        <w:trPr>
          <w:trHeight w:val="300"/>
        </w:trPr>
        <w:tc>
          <w:tcPr>
            <w:tcW w:w="775" w:type="pct"/>
            <w:vAlign w:val="center"/>
          </w:tcPr>
          <w:p w14:paraId="640955FF" w14:textId="77777777" w:rsidR="00C61547" w:rsidRDefault="00106C6F">
            <w:pPr>
              <w:jc w:val="center"/>
              <w:rPr>
                <w:sz w:val="22"/>
                <w:szCs w:val="22"/>
              </w:rPr>
            </w:pPr>
            <w:r>
              <w:rPr>
                <w:sz w:val="22"/>
                <w:szCs w:val="22"/>
              </w:rPr>
              <w:t>1</w:t>
            </w:r>
          </w:p>
        </w:tc>
        <w:tc>
          <w:tcPr>
            <w:tcW w:w="698" w:type="pct"/>
            <w:vAlign w:val="center"/>
          </w:tcPr>
          <w:p w14:paraId="5535113F" w14:textId="77777777" w:rsidR="00C61547" w:rsidRDefault="00106C6F">
            <w:pPr>
              <w:jc w:val="center"/>
              <w:rPr>
                <w:sz w:val="22"/>
                <w:szCs w:val="22"/>
              </w:rPr>
            </w:pPr>
            <w:r>
              <w:rPr>
                <w:sz w:val="22"/>
                <w:szCs w:val="22"/>
              </w:rPr>
              <w:t>2</w:t>
            </w:r>
          </w:p>
        </w:tc>
        <w:tc>
          <w:tcPr>
            <w:tcW w:w="520" w:type="pct"/>
          </w:tcPr>
          <w:p w14:paraId="6FE37028" w14:textId="77777777" w:rsidR="00C61547" w:rsidRDefault="00106C6F">
            <w:pPr>
              <w:jc w:val="center"/>
              <w:rPr>
                <w:sz w:val="22"/>
                <w:szCs w:val="22"/>
              </w:rPr>
            </w:pPr>
            <w:r>
              <w:rPr>
                <w:sz w:val="22"/>
                <w:szCs w:val="22"/>
              </w:rPr>
              <w:t>3</w:t>
            </w:r>
          </w:p>
        </w:tc>
        <w:tc>
          <w:tcPr>
            <w:tcW w:w="658" w:type="pct"/>
          </w:tcPr>
          <w:p w14:paraId="0352994F" w14:textId="77777777" w:rsidR="00C61547" w:rsidRDefault="00106C6F">
            <w:pPr>
              <w:jc w:val="center"/>
              <w:rPr>
                <w:sz w:val="22"/>
                <w:szCs w:val="22"/>
              </w:rPr>
            </w:pPr>
            <w:r>
              <w:rPr>
                <w:sz w:val="22"/>
                <w:szCs w:val="22"/>
              </w:rPr>
              <w:t>4</w:t>
            </w:r>
          </w:p>
        </w:tc>
        <w:tc>
          <w:tcPr>
            <w:tcW w:w="514" w:type="pct"/>
          </w:tcPr>
          <w:p w14:paraId="12D01909" w14:textId="77777777" w:rsidR="00C61547" w:rsidRDefault="00106C6F">
            <w:pPr>
              <w:jc w:val="center"/>
              <w:rPr>
                <w:sz w:val="22"/>
                <w:szCs w:val="22"/>
              </w:rPr>
            </w:pPr>
            <w:r>
              <w:rPr>
                <w:sz w:val="22"/>
                <w:szCs w:val="22"/>
              </w:rPr>
              <w:t>5</w:t>
            </w:r>
          </w:p>
        </w:tc>
        <w:tc>
          <w:tcPr>
            <w:tcW w:w="515" w:type="pct"/>
          </w:tcPr>
          <w:p w14:paraId="545D1DA0" w14:textId="77777777" w:rsidR="00C61547" w:rsidRDefault="00106C6F">
            <w:pPr>
              <w:jc w:val="center"/>
              <w:rPr>
                <w:sz w:val="22"/>
                <w:szCs w:val="22"/>
              </w:rPr>
            </w:pPr>
            <w:r>
              <w:rPr>
                <w:sz w:val="22"/>
                <w:szCs w:val="22"/>
              </w:rPr>
              <w:t>6</w:t>
            </w:r>
          </w:p>
        </w:tc>
        <w:tc>
          <w:tcPr>
            <w:tcW w:w="657" w:type="pct"/>
          </w:tcPr>
          <w:p w14:paraId="13466C2D" w14:textId="77777777" w:rsidR="00C61547" w:rsidRDefault="00106C6F">
            <w:pPr>
              <w:jc w:val="center"/>
              <w:rPr>
                <w:sz w:val="22"/>
                <w:szCs w:val="22"/>
              </w:rPr>
            </w:pPr>
            <w:r>
              <w:rPr>
                <w:sz w:val="22"/>
                <w:szCs w:val="22"/>
              </w:rPr>
              <w:t>7</w:t>
            </w:r>
          </w:p>
        </w:tc>
        <w:tc>
          <w:tcPr>
            <w:tcW w:w="663" w:type="pct"/>
          </w:tcPr>
          <w:p w14:paraId="0FB0C727" w14:textId="77777777" w:rsidR="00C61547" w:rsidRDefault="00106C6F">
            <w:pPr>
              <w:spacing w:line="259" w:lineRule="auto"/>
              <w:jc w:val="center"/>
              <w:rPr>
                <w:sz w:val="22"/>
                <w:szCs w:val="22"/>
              </w:rPr>
            </w:pPr>
            <w:r>
              <w:rPr>
                <w:sz w:val="22"/>
                <w:szCs w:val="22"/>
              </w:rPr>
              <w:t>8</w:t>
            </w:r>
          </w:p>
        </w:tc>
      </w:tr>
      <w:tr w:rsidR="00C61547" w14:paraId="37811DFB" w14:textId="77777777" w:rsidTr="00106C6F">
        <w:trPr>
          <w:trHeight w:val="300"/>
        </w:trPr>
        <w:tc>
          <w:tcPr>
            <w:tcW w:w="775" w:type="pct"/>
          </w:tcPr>
          <w:p w14:paraId="00469D97" w14:textId="77777777" w:rsidR="00C61547" w:rsidRDefault="00106C6F">
            <w:pPr>
              <w:rPr>
                <w:sz w:val="22"/>
                <w:szCs w:val="22"/>
              </w:rPr>
            </w:pPr>
            <w:r>
              <w:rPr>
                <w:sz w:val="22"/>
                <w:szCs w:val="22"/>
              </w:rPr>
              <w:t>1.1. Bituminės stogo dangos prilydymas (350 kv. m)</w:t>
            </w:r>
          </w:p>
        </w:tc>
        <w:tc>
          <w:tcPr>
            <w:tcW w:w="698" w:type="pct"/>
          </w:tcPr>
          <w:p w14:paraId="30185D42" w14:textId="77777777" w:rsidR="00C61547" w:rsidRDefault="00106C6F">
            <w:pPr>
              <w:rPr>
                <w:sz w:val="22"/>
                <w:szCs w:val="22"/>
              </w:rPr>
            </w:pPr>
            <w:r>
              <w:rPr>
                <w:sz w:val="22"/>
                <w:szCs w:val="22"/>
              </w:rPr>
              <w:t>2025-06-01</w:t>
            </w:r>
          </w:p>
        </w:tc>
        <w:tc>
          <w:tcPr>
            <w:tcW w:w="520" w:type="pct"/>
          </w:tcPr>
          <w:p w14:paraId="31BE77AF" w14:textId="77777777" w:rsidR="00C61547" w:rsidRDefault="00106C6F">
            <w:pPr>
              <w:jc w:val="center"/>
              <w:rPr>
                <w:sz w:val="22"/>
                <w:szCs w:val="22"/>
              </w:rPr>
            </w:pPr>
            <w:r>
              <w:rPr>
                <w:sz w:val="22"/>
                <w:szCs w:val="22"/>
              </w:rPr>
              <w:t>30</w:t>
            </w:r>
          </w:p>
        </w:tc>
        <w:tc>
          <w:tcPr>
            <w:tcW w:w="658" w:type="pct"/>
          </w:tcPr>
          <w:p w14:paraId="73023A1B" w14:textId="77777777" w:rsidR="00C61547" w:rsidRDefault="00106C6F">
            <w:pPr>
              <w:jc w:val="center"/>
              <w:rPr>
                <w:sz w:val="22"/>
                <w:szCs w:val="22"/>
              </w:rPr>
            </w:pPr>
            <w:r>
              <w:rPr>
                <w:sz w:val="22"/>
                <w:szCs w:val="22"/>
              </w:rPr>
              <w:t>2027-11-30</w:t>
            </w:r>
          </w:p>
        </w:tc>
        <w:tc>
          <w:tcPr>
            <w:tcW w:w="514" w:type="pct"/>
          </w:tcPr>
          <w:p w14:paraId="377C0D3A" w14:textId="77777777" w:rsidR="00C61547" w:rsidRDefault="00106C6F">
            <w:pPr>
              <w:jc w:val="center"/>
              <w:rPr>
                <w:sz w:val="22"/>
                <w:szCs w:val="22"/>
              </w:rPr>
            </w:pPr>
            <w:r>
              <w:rPr>
                <w:sz w:val="22"/>
                <w:szCs w:val="22"/>
              </w:rPr>
              <w:t>16 660</w:t>
            </w:r>
          </w:p>
        </w:tc>
        <w:tc>
          <w:tcPr>
            <w:tcW w:w="515" w:type="pct"/>
          </w:tcPr>
          <w:p w14:paraId="2D1447CF" w14:textId="77777777" w:rsidR="00C61547" w:rsidRDefault="00106C6F">
            <w:pPr>
              <w:jc w:val="center"/>
              <w:rPr>
                <w:sz w:val="22"/>
                <w:szCs w:val="22"/>
              </w:rPr>
            </w:pPr>
            <w:r>
              <w:rPr>
                <w:sz w:val="22"/>
                <w:szCs w:val="22"/>
              </w:rPr>
              <w:t>9,2555</w:t>
            </w:r>
          </w:p>
        </w:tc>
        <w:tc>
          <w:tcPr>
            <w:tcW w:w="657" w:type="pct"/>
          </w:tcPr>
          <w:p w14:paraId="7E138C97" w14:textId="77777777" w:rsidR="00C61547" w:rsidRDefault="00106C6F">
            <w:pPr>
              <w:jc w:val="center"/>
              <w:rPr>
                <w:sz w:val="22"/>
                <w:szCs w:val="22"/>
              </w:rPr>
            </w:pPr>
            <w:r>
              <w:rPr>
                <w:sz w:val="22"/>
                <w:szCs w:val="22"/>
              </w:rPr>
              <w:t>0,3085</w:t>
            </w:r>
          </w:p>
          <w:p w14:paraId="4F056621" w14:textId="77777777" w:rsidR="00C61547" w:rsidRDefault="00C61547">
            <w:pPr>
              <w:jc w:val="center"/>
              <w:rPr>
                <w:sz w:val="22"/>
                <w:szCs w:val="22"/>
              </w:rPr>
            </w:pPr>
          </w:p>
        </w:tc>
        <w:tc>
          <w:tcPr>
            <w:tcW w:w="663" w:type="pct"/>
          </w:tcPr>
          <w:p w14:paraId="1D2BE1C6" w14:textId="77777777" w:rsidR="00C61547" w:rsidRDefault="00106C6F">
            <w:pPr>
              <w:jc w:val="center"/>
              <w:rPr>
                <w:sz w:val="22"/>
                <w:szCs w:val="22"/>
              </w:rPr>
            </w:pPr>
            <w:r>
              <w:rPr>
                <w:sz w:val="22"/>
                <w:szCs w:val="22"/>
              </w:rPr>
              <w:t>-</w:t>
            </w:r>
          </w:p>
        </w:tc>
      </w:tr>
      <w:tr w:rsidR="00C61547" w14:paraId="0369919E" w14:textId="77777777" w:rsidTr="00106C6F">
        <w:trPr>
          <w:trHeight w:val="300"/>
        </w:trPr>
        <w:tc>
          <w:tcPr>
            <w:tcW w:w="775" w:type="pct"/>
          </w:tcPr>
          <w:p w14:paraId="6F67F0BC" w14:textId="77777777" w:rsidR="00C61547" w:rsidRDefault="00106C6F">
            <w:pPr>
              <w:rPr>
                <w:sz w:val="22"/>
                <w:szCs w:val="22"/>
              </w:rPr>
            </w:pPr>
            <w:r>
              <w:rPr>
                <w:sz w:val="22"/>
                <w:szCs w:val="22"/>
              </w:rPr>
              <w:t>1.2. Siūlių tarp blokų išvalymas, priemonių orui patekti ir kondensatui išbėgti įrengimas, gruntavimas, hermetizavimas</w:t>
            </w:r>
          </w:p>
        </w:tc>
        <w:tc>
          <w:tcPr>
            <w:tcW w:w="698" w:type="pct"/>
          </w:tcPr>
          <w:p w14:paraId="018B523D" w14:textId="77777777" w:rsidR="00C61547" w:rsidRDefault="00106C6F">
            <w:pPr>
              <w:rPr>
                <w:sz w:val="22"/>
                <w:szCs w:val="22"/>
              </w:rPr>
            </w:pPr>
            <w:r>
              <w:rPr>
                <w:sz w:val="22"/>
                <w:szCs w:val="22"/>
              </w:rPr>
              <w:t>2025-06-01</w:t>
            </w:r>
          </w:p>
        </w:tc>
        <w:tc>
          <w:tcPr>
            <w:tcW w:w="520" w:type="pct"/>
          </w:tcPr>
          <w:p w14:paraId="58DE9E0A" w14:textId="77777777" w:rsidR="00C61547" w:rsidRDefault="00106C6F">
            <w:pPr>
              <w:jc w:val="center"/>
              <w:rPr>
                <w:sz w:val="22"/>
                <w:szCs w:val="22"/>
              </w:rPr>
            </w:pPr>
            <w:r>
              <w:rPr>
                <w:sz w:val="22"/>
                <w:szCs w:val="22"/>
              </w:rPr>
              <w:t>41</w:t>
            </w:r>
          </w:p>
        </w:tc>
        <w:tc>
          <w:tcPr>
            <w:tcW w:w="658" w:type="pct"/>
          </w:tcPr>
          <w:p w14:paraId="6F61C218" w14:textId="77777777" w:rsidR="00C61547" w:rsidRDefault="00106C6F">
            <w:pPr>
              <w:jc w:val="center"/>
              <w:rPr>
                <w:sz w:val="22"/>
                <w:szCs w:val="22"/>
              </w:rPr>
            </w:pPr>
            <w:r>
              <w:rPr>
                <w:sz w:val="22"/>
                <w:szCs w:val="22"/>
              </w:rPr>
              <w:t>2028-10-31</w:t>
            </w:r>
          </w:p>
        </w:tc>
        <w:tc>
          <w:tcPr>
            <w:tcW w:w="514" w:type="pct"/>
          </w:tcPr>
          <w:p w14:paraId="145FFD92" w14:textId="77777777" w:rsidR="00C61547" w:rsidRDefault="00106C6F">
            <w:pPr>
              <w:jc w:val="center"/>
              <w:rPr>
                <w:sz w:val="22"/>
                <w:szCs w:val="22"/>
              </w:rPr>
            </w:pPr>
            <w:r>
              <w:rPr>
                <w:sz w:val="22"/>
                <w:szCs w:val="22"/>
              </w:rPr>
              <w:t>26 200</w:t>
            </w:r>
          </w:p>
        </w:tc>
        <w:tc>
          <w:tcPr>
            <w:tcW w:w="515" w:type="pct"/>
          </w:tcPr>
          <w:p w14:paraId="418F7E6A" w14:textId="77777777" w:rsidR="00C61547" w:rsidRDefault="00106C6F">
            <w:pPr>
              <w:jc w:val="center"/>
              <w:rPr>
                <w:sz w:val="22"/>
                <w:szCs w:val="22"/>
              </w:rPr>
            </w:pPr>
            <w:r>
              <w:rPr>
                <w:sz w:val="22"/>
                <w:szCs w:val="22"/>
              </w:rPr>
              <w:t>14,5555</w:t>
            </w:r>
          </w:p>
        </w:tc>
        <w:tc>
          <w:tcPr>
            <w:tcW w:w="657" w:type="pct"/>
          </w:tcPr>
          <w:p w14:paraId="38F18113" w14:textId="77777777" w:rsidR="00C61547" w:rsidRDefault="00106C6F">
            <w:pPr>
              <w:jc w:val="center"/>
              <w:rPr>
                <w:sz w:val="22"/>
                <w:szCs w:val="22"/>
              </w:rPr>
            </w:pPr>
            <w:r>
              <w:rPr>
                <w:sz w:val="22"/>
                <w:szCs w:val="22"/>
              </w:rPr>
              <w:t>0,3550</w:t>
            </w:r>
          </w:p>
        </w:tc>
        <w:tc>
          <w:tcPr>
            <w:tcW w:w="663" w:type="pct"/>
          </w:tcPr>
          <w:p w14:paraId="23F18434" w14:textId="77777777" w:rsidR="00C61547" w:rsidRDefault="00106C6F">
            <w:pPr>
              <w:jc w:val="center"/>
              <w:rPr>
                <w:sz w:val="22"/>
                <w:szCs w:val="22"/>
              </w:rPr>
            </w:pPr>
            <w:r>
              <w:rPr>
                <w:sz w:val="22"/>
                <w:szCs w:val="22"/>
              </w:rPr>
              <w:t>0,3550</w:t>
            </w:r>
          </w:p>
        </w:tc>
      </w:tr>
      <w:tr w:rsidR="00C61547" w14:paraId="7E6EDA03" w14:textId="77777777" w:rsidTr="00106C6F">
        <w:trPr>
          <w:trHeight w:val="300"/>
        </w:trPr>
        <w:tc>
          <w:tcPr>
            <w:tcW w:w="3681" w:type="pct"/>
            <w:gridSpan w:val="6"/>
          </w:tcPr>
          <w:p w14:paraId="0403FBE5" w14:textId="77777777" w:rsidR="00C61547" w:rsidRDefault="00106C6F">
            <w:pPr>
              <w:jc w:val="both"/>
              <w:rPr>
                <w:sz w:val="22"/>
                <w:szCs w:val="22"/>
              </w:rPr>
            </w:pPr>
            <w:r>
              <w:rPr>
                <w:rFonts w:eastAsia="Calibri"/>
                <w:sz w:val="22"/>
                <w:szCs w:val="22"/>
              </w:rPr>
              <w:t xml:space="preserve">Iš viso mėnesinės kaupiamosios įmokos tarifo dalis ilgalaikiame plane numatytoms privalomosioms priemonėms finansuoti </w:t>
            </w:r>
          </w:p>
        </w:tc>
        <w:tc>
          <w:tcPr>
            <w:tcW w:w="657" w:type="pct"/>
          </w:tcPr>
          <w:p w14:paraId="27E33B16" w14:textId="77777777" w:rsidR="00C61547" w:rsidRDefault="00106C6F">
            <w:pPr>
              <w:jc w:val="center"/>
              <w:rPr>
                <w:sz w:val="22"/>
                <w:szCs w:val="22"/>
              </w:rPr>
            </w:pPr>
            <w:r>
              <w:rPr>
                <w:sz w:val="22"/>
                <w:szCs w:val="22"/>
              </w:rPr>
              <w:t>0,6635</w:t>
            </w:r>
          </w:p>
        </w:tc>
        <w:tc>
          <w:tcPr>
            <w:tcW w:w="663" w:type="pct"/>
          </w:tcPr>
          <w:p w14:paraId="535E8BFD" w14:textId="77777777" w:rsidR="00C61547" w:rsidRDefault="00106C6F">
            <w:pPr>
              <w:jc w:val="center"/>
              <w:rPr>
                <w:sz w:val="22"/>
                <w:szCs w:val="22"/>
              </w:rPr>
            </w:pPr>
            <w:r>
              <w:rPr>
                <w:sz w:val="22"/>
                <w:szCs w:val="22"/>
              </w:rPr>
              <w:t>0,3550</w:t>
            </w:r>
          </w:p>
          <w:p w14:paraId="6D2D504F" w14:textId="77777777" w:rsidR="00C61547" w:rsidRDefault="00C61547">
            <w:pPr>
              <w:ind w:right="-113"/>
              <w:jc w:val="center"/>
              <w:rPr>
                <w:sz w:val="22"/>
                <w:szCs w:val="22"/>
              </w:rPr>
            </w:pPr>
          </w:p>
        </w:tc>
      </w:tr>
      <w:tr w:rsidR="00C61547" w14:paraId="2D6D1DFF" w14:textId="77777777" w:rsidTr="00106C6F">
        <w:trPr>
          <w:trHeight w:val="300"/>
        </w:trPr>
        <w:tc>
          <w:tcPr>
            <w:tcW w:w="5000" w:type="pct"/>
            <w:gridSpan w:val="8"/>
          </w:tcPr>
          <w:p w14:paraId="7DAE93E8" w14:textId="77777777" w:rsidR="00C61547" w:rsidRDefault="00106C6F">
            <w:pPr>
              <w:rPr>
                <w:sz w:val="22"/>
                <w:szCs w:val="22"/>
              </w:rPr>
            </w:pPr>
            <w:r>
              <w:rPr>
                <w:rFonts w:eastAsia="Calibri"/>
                <w:sz w:val="22"/>
                <w:szCs w:val="22"/>
              </w:rPr>
              <w:t>2.</w:t>
            </w:r>
            <w:r>
              <w:tab/>
            </w:r>
            <w:r>
              <w:rPr>
                <w:sz w:val="22"/>
                <w:szCs w:val="22"/>
              </w:rPr>
              <w:t>Lėšų kaupimas ilgalaikiame plane nenumatytoms</w:t>
            </w:r>
            <w:r>
              <w:rPr>
                <w:rFonts w:eastAsia="Calibri"/>
                <w:sz w:val="22"/>
                <w:szCs w:val="22"/>
              </w:rPr>
              <w:t xml:space="preserve"> privalomosioms priemonėms finansuoti </w:t>
            </w:r>
          </w:p>
        </w:tc>
      </w:tr>
      <w:tr w:rsidR="00C61547" w14:paraId="4AA894CA" w14:textId="77777777" w:rsidTr="00106C6F">
        <w:trPr>
          <w:trHeight w:val="300"/>
        </w:trPr>
        <w:tc>
          <w:tcPr>
            <w:tcW w:w="3681" w:type="pct"/>
            <w:gridSpan w:val="6"/>
          </w:tcPr>
          <w:p w14:paraId="4E249D12" w14:textId="77777777" w:rsidR="00C61547" w:rsidRDefault="00106C6F">
            <w:pPr>
              <w:jc w:val="both"/>
              <w:rPr>
                <w:rFonts w:eastAsia="Calibri"/>
                <w:sz w:val="22"/>
                <w:szCs w:val="22"/>
              </w:rPr>
            </w:pPr>
            <w:r>
              <w:rPr>
                <w:rFonts w:eastAsia="Calibri"/>
                <w:sz w:val="22"/>
                <w:szCs w:val="22"/>
              </w:rPr>
              <w:t>Mėnesinės kaupiamosios įmokos tarifo dalis ilgalaikiame plane nenumatytoms privalomosioms priemonėms finansuoti 2025 m.</w:t>
            </w:r>
          </w:p>
        </w:tc>
        <w:tc>
          <w:tcPr>
            <w:tcW w:w="657" w:type="pct"/>
          </w:tcPr>
          <w:p w14:paraId="6DAAA8C8" w14:textId="77777777" w:rsidR="00C61547" w:rsidRDefault="00106C6F">
            <w:pPr>
              <w:jc w:val="center"/>
              <w:rPr>
                <w:sz w:val="22"/>
                <w:szCs w:val="22"/>
              </w:rPr>
            </w:pPr>
            <w:r>
              <w:rPr>
                <w:sz w:val="22"/>
                <w:szCs w:val="22"/>
              </w:rPr>
              <w:t>0,1153</w:t>
            </w:r>
          </w:p>
        </w:tc>
        <w:tc>
          <w:tcPr>
            <w:tcW w:w="663" w:type="pct"/>
          </w:tcPr>
          <w:p w14:paraId="4719FA6A" w14:textId="77777777" w:rsidR="00C61547" w:rsidRDefault="00C61547">
            <w:pPr>
              <w:jc w:val="center"/>
              <w:rPr>
                <w:sz w:val="22"/>
                <w:szCs w:val="22"/>
              </w:rPr>
            </w:pPr>
          </w:p>
        </w:tc>
      </w:tr>
      <w:tr w:rsidR="00C61547" w14:paraId="6EDEAE17" w14:textId="77777777" w:rsidTr="00106C6F">
        <w:trPr>
          <w:trHeight w:val="300"/>
        </w:trPr>
        <w:tc>
          <w:tcPr>
            <w:tcW w:w="3681" w:type="pct"/>
            <w:gridSpan w:val="6"/>
          </w:tcPr>
          <w:p w14:paraId="4060F2E2" w14:textId="77777777" w:rsidR="00C61547" w:rsidRDefault="00106C6F">
            <w:pPr>
              <w:ind w:firstLine="57"/>
              <w:rPr>
                <w:b/>
                <w:bCs/>
                <w:sz w:val="22"/>
                <w:szCs w:val="22"/>
              </w:rPr>
            </w:pPr>
            <w:r>
              <w:rPr>
                <w:b/>
                <w:bCs/>
                <w:sz w:val="22"/>
                <w:szCs w:val="22"/>
              </w:rPr>
              <w:t>Mėnesinės kaupiamosios įmokos tarifas 2025 m.</w:t>
            </w:r>
          </w:p>
        </w:tc>
        <w:tc>
          <w:tcPr>
            <w:tcW w:w="657" w:type="pct"/>
          </w:tcPr>
          <w:p w14:paraId="62529859" w14:textId="77777777" w:rsidR="00C61547" w:rsidRDefault="00106C6F">
            <w:pPr>
              <w:ind w:firstLine="57"/>
              <w:jc w:val="center"/>
              <w:rPr>
                <w:sz w:val="22"/>
                <w:szCs w:val="22"/>
              </w:rPr>
            </w:pPr>
            <w:r>
              <w:rPr>
                <w:sz w:val="22"/>
                <w:szCs w:val="22"/>
              </w:rPr>
              <w:t>0,7788</w:t>
            </w:r>
          </w:p>
        </w:tc>
        <w:tc>
          <w:tcPr>
            <w:tcW w:w="663" w:type="pct"/>
          </w:tcPr>
          <w:p w14:paraId="15AB7CC7" w14:textId="77777777" w:rsidR="00C61547" w:rsidRDefault="00C61547">
            <w:pPr>
              <w:ind w:firstLine="57"/>
              <w:jc w:val="center"/>
              <w:rPr>
                <w:sz w:val="22"/>
                <w:szCs w:val="22"/>
              </w:rPr>
            </w:pPr>
          </w:p>
        </w:tc>
      </w:tr>
    </w:tbl>
    <w:p w14:paraId="6FC9935A" w14:textId="77777777" w:rsidR="00C61547" w:rsidRDefault="00C61547">
      <w:pPr>
        <w:spacing w:line="276" w:lineRule="auto"/>
        <w:ind w:left="314" w:hanging="330"/>
        <w:jc w:val="both"/>
        <w:rPr>
          <w:rFonts w:eastAsia="Calibri"/>
          <w:sz w:val="22"/>
          <w:szCs w:val="22"/>
        </w:rPr>
      </w:pPr>
    </w:p>
    <w:p w14:paraId="2326CC39" w14:textId="77777777" w:rsidR="00C61547" w:rsidRDefault="00106C6F">
      <w:pPr>
        <w:spacing w:line="276" w:lineRule="auto"/>
        <w:ind w:firstLine="720"/>
        <w:jc w:val="both"/>
        <w:rPr>
          <w:szCs w:val="24"/>
        </w:rPr>
      </w:pPr>
      <w:r>
        <w:rPr>
          <w:szCs w:val="24"/>
        </w:rPr>
        <w:t>Mėnesinės kaupiamosios įmokos tarifo apskaičiavimas:</w:t>
      </w:r>
    </w:p>
    <w:p w14:paraId="2275692C" w14:textId="77777777" w:rsidR="00C61547" w:rsidRDefault="00C61547">
      <w:pPr>
        <w:spacing w:line="276" w:lineRule="auto"/>
        <w:ind w:firstLine="720"/>
        <w:jc w:val="both"/>
        <w:rPr>
          <w:szCs w:val="24"/>
        </w:rPr>
      </w:pPr>
    </w:p>
    <w:p w14:paraId="0D5074E2" w14:textId="77777777" w:rsidR="00C61547" w:rsidRDefault="00913BB2">
      <w:pPr>
        <w:spacing w:line="276" w:lineRule="auto"/>
        <w:ind w:firstLine="720"/>
        <w:jc w:val="both"/>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m</m:t>
            </m:r>
          </m:sub>
        </m:sSub>
        <m:r>
          <w:rPr>
            <w:rFonts w:ascii="Cambria Math" w:hAnsi="Cambria Math"/>
            <w:szCs w:val="24"/>
          </w:rPr>
          <m:t>=</m:t>
        </m:r>
        <m:d>
          <m:dPr>
            <m:ctrlPr>
              <w:rPr>
                <w:rFonts w:ascii="Cambria Math" w:hAnsi="Cambria Math"/>
                <w:i/>
                <w:szCs w:val="24"/>
              </w:rPr>
            </m:ctrlPr>
          </m:dPr>
          <m:e>
            <m:f>
              <m:fPr>
                <m:ctrlPr>
                  <w:rPr>
                    <w:rFonts w:ascii="Cambria Math" w:hAnsi="Cambria Math"/>
                    <w:szCs w:val="24"/>
                    <w:lang w:val="en-US"/>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m:t>
                    </m:r>
                    <m:r>
                      <w:rPr>
                        <w:rFonts w:ascii="Cambria Math" w:hAnsi="Cambria Math"/>
                        <w:szCs w:val="24"/>
                      </w:rPr>
                      <m:t>t</m:t>
                    </m:r>
                  </m:e>
                  <m:sub>
                    <m:r>
                      <w:rPr>
                        <w:rFonts w:ascii="Cambria Math" w:hAnsi="Cambria Math"/>
                        <w:szCs w:val="24"/>
                      </w:rPr>
                      <m:t>1</m:t>
                    </m:r>
                  </m:sub>
                </m:sSub>
              </m:den>
            </m:f>
            <m:r>
              <w:rPr>
                <w:rFonts w:ascii="Cambria Math" w:hAnsi="Cambria Math"/>
                <w:szCs w:val="24"/>
              </w:rPr>
              <m:t>+</m:t>
            </m:r>
            <m:f>
              <m:fPr>
                <m:ctrlPr>
                  <w:rPr>
                    <w:rFonts w:ascii="Cambria Math" w:hAnsi="Cambria Math"/>
                    <w:szCs w:val="24"/>
                    <w:lang w:val="en-US"/>
                  </w:rPr>
                </m:ctrlPr>
              </m:fPr>
              <m:num>
                <m:sSup>
                  <m:sSupPr>
                    <m:ctrlPr>
                      <w:rPr>
                        <w:rFonts w:ascii="Cambria Math" w:hAnsi="Cambria Math"/>
                        <w:szCs w:val="24"/>
                        <w:lang w:val="en-US"/>
                      </w:rPr>
                    </m:ctrlPr>
                  </m:sSup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e>
                  <m:sup/>
                </m:sSup>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2</m:t>
                    </m:r>
                  </m:sub>
                </m:sSub>
              </m:den>
            </m:f>
          </m:e>
        </m:d>
        <m:r>
          <w:rPr>
            <w:rFonts w:ascii="Cambria Math" w:hAnsi="Cambria Math"/>
            <w:szCs w:val="24"/>
          </w:rPr>
          <m:t>+</m:t>
        </m:r>
        <m:r>
          <w:rPr>
            <w:rFonts w:ascii="Cambria Math" w:hAnsi="Cambria Math"/>
            <w:szCs w:val="24"/>
          </w:rPr>
          <m:t>q</m:t>
        </m:r>
        <m:r>
          <w:rPr>
            <w:rFonts w:ascii="Cambria Math" w:hAnsi="Cambria Math"/>
            <w:szCs w:val="24"/>
          </w:rPr>
          <m:t>=</m:t>
        </m:r>
        <m:d>
          <m:dPr>
            <m:ctrlPr>
              <w:rPr>
                <w:rFonts w:ascii="Cambria Math" w:hAnsi="Cambria Math"/>
                <w:i/>
                <w:szCs w:val="24"/>
              </w:rPr>
            </m:ctrlPr>
          </m:dPr>
          <m:e>
            <m:f>
              <m:fPr>
                <m:ctrlPr>
                  <w:rPr>
                    <w:rFonts w:ascii="Cambria Math" w:hAnsi="Cambria Math"/>
                    <w:szCs w:val="24"/>
                    <w:lang w:val="en-US"/>
                  </w:rPr>
                </m:ctrlPr>
              </m:fPr>
              <m:num>
                <m:r>
                  <w:rPr>
                    <w:rFonts w:ascii="Cambria Math" w:hAnsi="Cambria Math"/>
                    <w:szCs w:val="24"/>
                  </w:rPr>
                  <m:t>1</m:t>
                </m:r>
                <m:sSub>
                  <m:sSubPr>
                    <m:ctrlPr>
                      <w:rPr>
                        <w:rFonts w:ascii="Cambria Math" w:hAnsi="Cambria Math"/>
                        <w:i/>
                        <w:szCs w:val="24"/>
                      </w:rPr>
                    </m:ctrlPr>
                  </m:sSubPr>
                  <m:e>
                    <m:r>
                      <w:rPr>
                        <w:rFonts w:ascii="Cambria Math" w:hAnsi="Cambria Math"/>
                        <w:szCs w:val="24"/>
                      </w:rPr>
                      <m:t>6 660</m:t>
                    </m:r>
                  </m:e>
                  <m:sub/>
                </m:sSub>
              </m:num>
              <m:den>
                <m:r>
                  <w:rPr>
                    <w:rFonts w:ascii="Cambria Math" w:hAnsi="Cambria Math"/>
                    <w:szCs w:val="24"/>
                  </w:rPr>
                  <m:t xml:space="preserve">1 800 × 30 </m:t>
                </m:r>
              </m:den>
            </m:f>
            <m:r>
              <w:rPr>
                <w:rFonts w:ascii="Cambria Math" w:hAnsi="Cambria Math"/>
                <w:szCs w:val="24"/>
              </w:rPr>
              <m:t>+</m:t>
            </m:r>
            <m:f>
              <m:fPr>
                <m:ctrlPr>
                  <w:rPr>
                    <w:rFonts w:ascii="Cambria Math" w:hAnsi="Cambria Math"/>
                    <w:szCs w:val="24"/>
                    <w:lang w:val="en-US"/>
                  </w:rPr>
                </m:ctrlPr>
              </m:fPr>
              <m:num>
                <m:r>
                  <w:rPr>
                    <w:rFonts w:ascii="Cambria Math" w:hAnsi="Cambria Math"/>
                    <w:szCs w:val="24"/>
                  </w:rPr>
                  <m:t>2</m:t>
                </m:r>
                <m:sSup>
                  <m:sSupPr>
                    <m:ctrlPr>
                      <w:rPr>
                        <w:rFonts w:ascii="Cambria Math" w:hAnsi="Cambria Math"/>
                        <w:szCs w:val="24"/>
                        <w:lang w:val="en-US"/>
                      </w:rPr>
                    </m:ctrlPr>
                  </m:sSupPr>
                  <m:e>
                    <m:sSub>
                      <m:sSubPr>
                        <m:ctrlPr>
                          <w:rPr>
                            <w:rFonts w:ascii="Cambria Math" w:hAnsi="Cambria Math"/>
                            <w:i/>
                            <w:szCs w:val="24"/>
                          </w:rPr>
                        </m:ctrlPr>
                      </m:sSubPr>
                      <m:e>
                        <m:r>
                          <w:rPr>
                            <w:rFonts w:ascii="Cambria Math" w:hAnsi="Cambria Math"/>
                            <w:szCs w:val="24"/>
                          </w:rPr>
                          <m:t>6 200</m:t>
                        </m:r>
                      </m:e>
                      <m:sub/>
                    </m:sSub>
                  </m:e>
                  <m:sup/>
                </m:sSup>
              </m:num>
              <m:den>
                <m:r>
                  <w:rPr>
                    <w:rFonts w:ascii="Cambria Math" w:hAnsi="Cambria Math"/>
                    <w:szCs w:val="24"/>
                  </w:rPr>
                  <m:t>1 800 × 41</m:t>
                </m:r>
              </m:den>
            </m:f>
          </m:e>
        </m:d>
        <m:r>
          <w:rPr>
            <w:rFonts w:ascii="Cambria Math" w:hAnsi="Cambria Math"/>
            <w:szCs w:val="24"/>
          </w:rPr>
          <m:t xml:space="preserve">+0,1153= 0,3085+ 0,3550+0,1153 </m:t>
        </m:r>
        <m:r>
          <m:rPr>
            <m:sty m:val="p"/>
          </m:rPr>
          <w:rPr>
            <w:rFonts w:ascii="Cambria Math" w:hAnsi="Cambria Math"/>
            <w:szCs w:val="24"/>
          </w:rPr>
          <m:t>=</m:t>
        </m:r>
        <m:r>
          <w:rPr>
            <w:rFonts w:ascii="Cambria Math" w:hAnsi="Cambria Math"/>
            <w:szCs w:val="24"/>
          </w:rPr>
          <m:t xml:space="preserve">  0,7788</m:t>
        </m:r>
        <m:r>
          <m:rPr>
            <m:sty m:val="p"/>
          </m:rPr>
          <w:rPr>
            <w:rFonts w:ascii="Cambria Math" w:hAnsi="Cambria Math"/>
            <w:szCs w:val="24"/>
          </w:rPr>
          <m:t>≤</m:t>
        </m:r>
        <m:r>
          <w:rPr>
            <w:rFonts w:ascii="Cambria Math" w:hAnsi="Cambria Math"/>
            <w:szCs w:val="24"/>
          </w:rPr>
          <m:t xml:space="preserve">1,1533 </m:t>
        </m:r>
      </m:oMath>
      <w:r w:rsidR="00106C6F">
        <w:rPr>
          <w:rFonts w:eastAsia="Calibri"/>
        </w:rPr>
        <w:t>Eur/kv. m/mėn.</w:t>
      </w:r>
    </w:p>
    <w:p w14:paraId="62A0C8E8" w14:textId="77777777" w:rsidR="00C61547" w:rsidRDefault="00C61547">
      <w:pPr>
        <w:spacing w:line="276" w:lineRule="auto"/>
        <w:ind w:firstLine="720"/>
        <w:jc w:val="both"/>
        <w:rPr>
          <w:sz w:val="22"/>
          <w:szCs w:val="22"/>
        </w:rPr>
      </w:pPr>
    </w:p>
    <w:p w14:paraId="4D485F12" w14:textId="77777777" w:rsidR="00C61547" w:rsidRDefault="00913BB2">
      <w:pPr>
        <w:spacing w:line="276" w:lineRule="auto"/>
        <w:ind w:firstLine="720"/>
        <w:jc w:val="both"/>
        <w:rPr>
          <w:rFonts w:ascii="Cambria Math" w:hAnsi="Cambria Math"/>
          <w:szCs w:val="24"/>
        </w:rPr>
      </w:pPr>
      <m:oMath>
        <m:sSub>
          <m:sSubPr>
            <m:ctrlPr>
              <w:rPr>
                <w:rFonts w:ascii="Cambria Math" w:hAnsi="Cambria Math"/>
                <w:i/>
                <w:szCs w:val="24"/>
              </w:rPr>
            </m:ctrlPr>
          </m:sSubPr>
          <m:e>
            <m:r>
              <w:rPr>
                <w:rFonts w:ascii="Cambria Math" w:hAnsi="Cambria Math"/>
                <w:szCs w:val="24"/>
              </w:rPr>
              <m:t xml:space="preserve">              </m:t>
            </m:r>
            <m:r>
              <w:rPr>
                <w:rFonts w:ascii="Cambria Math" w:hAnsi="Cambria Math"/>
                <w:szCs w:val="24"/>
              </w:rPr>
              <m:t>k</m:t>
            </m:r>
          </m:e>
          <m:sub>
            <m:func>
              <m:funcPr>
                <m:ctrlPr>
                  <w:rPr>
                    <w:rFonts w:ascii="Cambria Math" w:hAnsi="Cambria Math"/>
                    <w:i/>
                    <w:szCs w:val="24"/>
                  </w:rPr>
                </m:ctrlPr>
              </m:funcPr>
              <m:fName>
                <m:r>
                  <m:rPr>
                    <m:sty m:val="p"/>
                  </m:rPr>
                  <w:rPr>
                    <w:rFonts w:ascii="Cambria Math" w:hAnsi="Cambria Math"/>
                    <w:szCs w:val="24"/>
                  </w:rPr>
                  <m:t>max</m:t>
                </m:r>
              </m:fName>
              <m:e/>
            </m:func>
          </m:sub>
        </m:sSub>
        <m:r>
          <m:rPr>
            <m:sty m:val="p"/>
          </m:rPr>
          <w:rPr>
            <w:rFonts w:ascii="Cambria Math" w:hAnsi="Cambria Math"/>
            <w:szCs w:val="24"/>
            <w:lang w:val="en-US"/>
          </w:rPr>
          <m:t>=</m:t>
        </m:r>
        <m:f>
          <m:fPr>
            <m:ctrlPr>
              <w:rPr>
                <w:rFonts w:ascii="Cambria Math" w:hAnsi="Cambria Math"/>
                <w:szCs w:val="24"/>
                <w:lang w:val="en-US"/>
              </w:rPr>
            </m:ctrlPr>
          </m:fPr>
          <m:num>
            <m:sSub>
              <m:sSubPr>
                <m:ctrlPr>
                  <w:rPr>
                    <w:rFonts w:ascii="Cambria Math" w:hAnsi="Cambria Math"/>
                    <w:i/>
                    <w:szCs w:val="24"/>
                  </w:rPr>
                </m:ctrlPr>
              </m:sSubPr>
              <m:e>
                <m:r>
                  <w:rPr>
                    <w:rFonts w:ascii="Cambria Math" w:hAnsi="Cambria Math"/>
                    <w:szCs w:val="24"/>
                  </w:rPr>
                  <m:t xml:space="preserve">0,05 ×1038 </m:t>
                </m:r>
              </m:e>
              <m:sub/>
            </m:sSub>
          </m:num>
          <m:den>
            <m:r>
              <w:rPr>
                <w:rFonts w:ascii="Cambria Math" w:hAnsi="Cambria Math"/>
                <w:szCs w:val="24"/>
              </w:rPr>
              <m:t>45</m:t>
            </m:r>
          </m:den>
        </m:f>
        <m:r>
          <w:rPr>
            <w:rFonts w:ascii="Cambria Math" w:hAnsi="Cambria Math"/>
            <w:szCs w:val="24"/>
          </w:rPr>
          <m:t>=1,1533</m:t>
        </m:r>
        <m:r>
          <m:rPr>
            <m:sty m:val="p"/>
          </m:rPr>
          <w:rPr>
            <w:rFonts w:ascii="Cambria Math" w:hAnsi="Cambria Math"/>
            <w:szCs w:val="24"/>
          </w:rPr>
          <m:t xml:space="preserve"> </m:t>
        </m:r>
      </m:oMath>
      <w:r w:rsidR="00106C6F">
        <w:rPr>
          <w:rFonts w:ascii="Cambria Math" w:eastAsia="Calibri" w:hAnsi="Cambria Math"/>
          <w:szCs w:val="24"/>
        </w:rPr>
        <w:t>Eur/kv. m/mėn.</w:t>
      </w:r>
    </w:p>
    <w:p w14:paraId="6C7419DE" w14:textId="77777777" w:rsidR="00C61547" w:rsidRDefault="00C61547">
      <w:pPr>
        <w:spacing w:line="276" w:lineRule="auto"/>
        <w:ind w:firstLine="720"/>
        <w:jc w:val="both"/>
      </w:pPr>
    </w:p>
    <w:p w14:paraId="3D113BCE" w14:textId="77777777" w:rsidR="00C61547" w:rsidRDefault="00106C6F">
      <w:pPr>
        <w:spacing w:line="276" w:lineRule="auto"/>
        <w:ind w:firstLine="720"/>
        <w:jc w:val="both"/>
        <w:rPr>
          <w:rFonts w:eastAsia="Calibri"/>
        </w:rPr>
      </w:pPr>
      <w:r>
        <w:rPr>
          <w:rFonts w:eastAsia="Calibri"/>
          <w:i/>
          <w:iCs/>
        </w:rPr>
        <w:t>P</w:t>
      </w:r>
      <w:r>
        <w:rPr>
          <w:rFonts w:eastAsia="Calibri"/>
          <w:i/>
          <w:iCs/>
          <w:vertAlign w:val="subscript"/>
        </w:rPr>
        <w:t>1</w:t>
      </w:r>
      <w:r>
        <w:rPr>
          <w:rFonts w:eastAsia="Calibri"/>
          <w:i/>
          <w:iCs/>
        </w:rPr>
        <w:t>,</w:t>
      </w:r>
      <w:r>
        <w:rPr>
          <w:rFonts w:eastAsia="Calibri"/>
          <w:i/>
          <w:iCs/>
          <w:vertAlign w:val="subscript"/>
        </w:rPr>
        <w:t xml:space="preserve"> </w:t>
      </w:r>
      <w:r>
        <w:rPr>
          <w:rFonts w:eastAsia="Calibri"/>
          <w:i/>
          <w:iCs/>
        </w:rPr>
        <w:t>P</w:t>
      </w:r>
      <w:r>
        <w:rPr>
          <w:rFonts w:eastAsia="Calibri"/>
          <w:i/>
          <w:iCs/>
          <w:vertAlign w:val="subscript"/>
        </w:rPr>
        <w:t>2</w:t>
      </w:r>
      <w:r>
        <w:rPr>
          <w:rFonts w:eastAsia="Calibri"/>
          <w:vertAlign w:val="subscript"/>
        </w:rPr>
        <w:t xml:space="preserve"> </w:t>
      </w:r>
      <w:r>
        <w:rPr>
          <w:rFonts w:eastAsia="Calibri"/>
        </w:rPr>
        <w:t xml:space="preserve">–priemonių pagal ilgalaikį planą orientacinė kaina; </w:t>
      </w:r>
      <w:r>
        <w:rPr>
          <w:rFonts w:eastAsia="Calibri"/>
          <w:i/>
          <w:iCs/>
        </w:rPr>
        <w:t>P</w:t>
      </w:r>
      <w:r>
        <w:rPr>
          <w:rFonts w:eastAsia="Calibri"/>
          <w:i/>
          <w:iCs/>
          <w:vertAlign w:val="subscript"/>
        </w:rPr>
        <w:t>1</w:t>
      </w:r>
      <w:r>
        <w:rPr>
          <w:rFonts w:eastAsia="Calibri"/>
        </w:rPr>
        <w:t xml:space="preserve"> = 16 660 Eur, </w:t>
      </w:r>
      <w:r>
        <w:rPr>
          <w:rFonts w:eastAsia="Calibri"/>
          <w:i/>
          <w:iCs/>
        </w:rPr>
        <w:t>P</w:t>
      </w:r>
      <w:r>
        <w:rPr>
          <w:rFonts w:eastAsia="Calibri"/>
          <w:i/>
          <w:iCs/>
          <w:vertAlign w:val="subscript"/>
        </w:rPr>
        <w:t>2</w:t>
      </w:r>
      <w:r>
        <w:rPr>
          <w:rFonts w:eastAsia="Calibri"/>
        </w:rPr>
        <w:t xml:space="preserve"> = 26 200 Eur;</w:t>
      </w:r>
    </w:p>
    <w:p w14:paraId="593025E0" w14:textId="77777777" w:rsidR="00C61547" w:rsidRDefault="00913BB2">
      <w:pPr>
        <w:spacing w:line="276" w:lineRule="auto"/>
        <w:ind w:firstLine="709"/>
        <w:jc w:val="both"/>
        <w:rPr>
          <w:rFonts w:eastAsia="Calibri"/>
        </w:rPr>
      </w:pP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r>
          <w:rPr>
            <w:rFonts w:ascii="Cambria Math" w:hAnsi="Cambria Math"/>
            <w:szCs w:val="24"/>
          </w:rPr>
          <m:t xml:space="preserve"> </m:t>
        </m:r>
      </m:oMath>
      <w:r w:rsidR="00106C6F">
        <w:rPr>
          <w:rFonts w:eastAsia="Calibri"/>
        </w:rPr>
        <w:t xml:space="preserve">– butų ir kitų patalpų naudingasis plotas ar bendrasis plotas, kai naudingasis plotas nenustatomas, iš viso (kv. m), </w:t>
      </w:r>
      <w:proofErr w:type="spellStart"/>
      <w:r w:rsidR="00106C6F">
        <w:rPr>
          <w:rFonts w:eastAsia="Calibri"/>
          <w:i/>
          <w:iCs/>
        </w:rPr>
        <w:t>N</w:t>
      </w:r>
      <w:r w:rsidR="00106C6F">
        <w:rPr>
          <w:rFonts w:eastAsia="Calibri"/>
          <w:i/>
          <w:iCs/>
          <w:vertAlign w:val="subscript"/>
        </w:rPr>
        <w:t>p</w:t>
      </w:r>
      <w:proofErr w:type="spellEnd"/>
      <w:r w:rsidR="00106C6F">
        <w:rPr>
          <w:rFonts w:eastAsia="Calibri"/>
          <w:i/>
          <w:iCs/>
        </w:rPr>
        <w:t xml:space="preserve"> </w:t>
      </w:r>
      <w:r w:rsidR="00106C6F">
        <w:rPr>
          <w:rFonts w:eastAsia="Calibri"/>
        </w:rPr>
        <w:t>= 1 800 kv. m;</w:t>
      </w:r>
    </w:p>
    <w:p w14:paraId="2729ECA0" w14:textId="77777777" w:rsidR="00C61547" w:rsidRDefault="00106C6F">
      <w:pPr>
        <w:spacing w:line="276" w:lineRule="auto"/>
        <w:ind w:firstLine="720"/>
        <w:jc w:val="both"/>
        <w:rPr>
          <w:rFonts w:eastAsia="Calibri"/>
        </w:rPr>
      </w:pPr>
      <w:r>
        <w:rPr>
          <w:rFonts w:eastAsia="Calibri"/>
          <w:i/>
          <w:iCs/>
        </w:rPr>
        <w:t>t</w:t>
      </w:r>
      <w:r>
        <w:rPr>
          <w:rFonts w:eastAsia="Calibri"/>
          <w:i/>
          <w:iCs/>
          <w:vertAlign w:val="subscript"/>
        </w:rPr>
        <w:t>1</w:t>
      </w:r>
      <w:r>
        <w:rPr>
          <w:rFonts w:eastAsia="Calibri"/>
          <w:vertAlign w:val="subscript"/>
        </w:rPr>
        <w:t xml:space="preserve"> </w:t>
      </w:r>
      <w:r>
        <w:rPr>
          <w:rFonts w:eastAsia="Calibri"/>
        </w:rPr>
        <w:t xml:space="preserve">– lėšų kaupimo trukmė (mėn.) skaičiuojant nuo 2025 m. birželio 1 d. iki 2027 m. lapkričio 30 d.; </w:t>
      </w:r>
      <w:r>
        <w:rPr>
          <w:rFonts w:eastAsia="Calibri"/>
          <w:i/>
          <w:iCs/>
        </w:rPr>
        <w:t>t</w:t>
      </w:r>
      <w:r>
        <w:rPr>
          <w:rFonts w:eastAsia="Calibri"/>
          <w:i/>
          <w:iCs/>
          <w:vertAlign w:val="subscript"/>
        </w:rPr>
        <w:t>1</w:t>
      </w:r>
      <w:r>
        <w:rPr>
          <w:rFonts w:eastAsia="Calibri"/>
        </w:rPr>
        <w:t xml:space="preserve"> </w:t>
      </w:r>
      <m:oMath>
        <m:r>
          <w:rPr>
            <w:rFonts w:ascii="Cambria Math" w:hAnsi="Cambria Math"/>
            <w:szCs w:val="24"/>
          </w:rPr>
          <m:t>=</m:t>
        </m:r>
      </m:oMath>
      <w:r>
        <w:rPr>
          <w:rFonts w:eastAsia="Calibri"/>
        </w:rPr>
        <w:t xml:space="preserve"> 30 mėn.;</w:t>
      </w:r>
    </w:p>
    <w:p w14:paraId="0E677F55" w14:textId="77777777" w:rsidR="00C61547" w:rsidRDefault="00106C6F">
      <w:pPr>
        <w:spacing w:line="276" w:lineRule="auto"/>
        <w:ind w:firstLine="720"/>
        <w:jc w:val="both"/>
        <w:rPr>
          <w:rFonts w:eastAsia="Calibri"/>
        </w:rPr>
      </w:pPr>
      <w:r>
        <w:rPr>
          <w:rFonts w:eastAsia="Calibri"/>
          <w:i/>
          <w:iCs/>
        </w:rPr>
        <w:t>t</w:t>
      </w:r>
      <w:r>
        <w:rPr>
          <w:rFonts w:eastAsia="Calibri"/>
          <w:i/>
          <w:iCs/>
          <w:vertAlign w:val="subscript"/>
        </w:rPr>
        <w:t>2</w:t>
      </w:r>
      <w:r>
        <w:rPr>
          <w:rFonts w:eastAsia="Calibri"/>
          <w:vertAlign w:val="subscript"/>
        </w:rPr>
        <w:t xml:space="preserve"> </w:t>
      </w:r>
      <w:r>
        <w:rPr>
          <w:rFonts w:eastAsia="Calibri"/>
        </w:rPr>
        <w:t xml:space="preserve">– lėšų kaupimo trukmė (mėn.) skaičiuojant nuo 2025 m.  birželio 1 d. iki 2028 m. spalio 31 d.; </w:t>
      </w:r>
      <w:r>
        <w:rPr>
          <w:rFonts w:eastAsia="Calibri"/>
          <w:i/>
          <w:iCs/>
        </w:rPr>
        <w:t>t</w:t>
      </w:r>
      <w:r>
        <w:rPr>
          <w:rFonts w:eastAsia="Calibri"/>
          <w:i/>
          <w:iCs/>
          <w:vertAlign w:val="subscript"/>
        </w:rPr>
        <w:t>n2</w:t>
      </w:r>
      <m:oMath>
        <m:r>
          <w:rPr>
            <w:rFonts w:ascii="Cambria Math" w:hAnsi="Cambria Math"/>
            <w:szCs w:val="24"/>
          </w:rPr>
          <m:t>=</m:t>
        </m:r>
      </m:oMath>
      <w:r>
        <w:t>￼</w:t>
      </w:r>
      <w:r>
        <w:rPr>
          <w:rFonts w:eastAsia="Calibri"/>
        </w:rPr>
        <w:t xml:space="preserve"> 41 mėn.;</w:t>
      </w:r>
    </w:p>
    <w:p w14:paraId="338CA51D" w14:textId="77777777" w:rsidR="00C61547" w:rsidRDefault="00106C6F">
      <w:pPr>
        <w:spacing w:line="276" w:lineRule="auto"/>
        <w:ind w:firstLine="720"/>
        <w:jc w:val="both"/>
        <w:rPr>
          <w:rFonts w:eastAsia="Calibri"/>
        </w:rPr>
      </w:pPr>
      <w:r>
        <w:rPr>
          <w:rFonts w:eastAsia="Calibri"/>
          <w:i/>
          <w:iCs/>
        </w:rPr>
        <w:t>q</w:t>
      </w:r>
      <w:r>
        <w:rPr>
          <w:rFonts w:eastAsia="Calibri"/>
        </w:rPr>
        <w:t xml:space="preserve"> – mėnesinės kaupiamosios įmokos tarifo dalis ilgalaikiame plane nenumatytoms privalomosioms priemonėms finansuoti, apskaičiuota pagal Aprašo 10.1 papunktyje pateiktą formulę, atsižvelgus į tai, kad daugiabučio namo naudingasis plotas iki 3000 kv. m ir minimalioji mėnesinė alga 2025 m. – 1 038,00 Eur: </w:t>
      </w:r>
      <w:r>
        <w:rPr>
          <w:rFonts w:eastAsia="Calibri"/>
          <w:i/>
          <w:iCs/>
        </w:rPr>
        <w:t>q</w:t>
      </w:r>
      <w:r>
        <w:rPr>
          <w:rFonts w:eastAsia="Calibri"/>
        </w:rPr>
        <w:t xml:space="preserve"> = 0,1153 Eur/kv. m;</w:t>
      </w:r>
    </w:p>
    <w:p w14:paraId="35A71D15" w14:textId="77777777" w:rsidR="00C61547" w:rsidRDefault="00913BB2">
      <w:pPr>
        <w:spacing w:line="276" w:lineRule="auto"/>
        <w:ind w:firstLine="720"/>
        <w:jc w:val="both"/>
        <w:rPr>
          <w:rFonts w:eastAsia="Calibri"/>
        </w:rPr>
      </w:pPr>
      <m:oMath>
        <m:sSub>
          <m:sSubPr>
            <m:ctrlPr>
              <w:rPr>
                <w:rFonts w:ascii="Cambria Math" w:hAnsi="Cambria Math"/>
                <w:i/>
                <w:szCs w:val="24"/>
              </w:rPr>
            </m:ctrlPr>
          </m:sSubPr>
          <m:e>
            <m:r>
              <w:rPr>
                <w:rFonts w:ascii="Cambria Math" w:hAnsi="Cambria Math"/>
                <w:szCs w:val="24"/>
              </w:rPr>
              <m:t>k</m:t>
            </m:r>
          </m:e>
          <m:sub>
            <m:func>
              <m:funcPr>
                <m:ctrlPr>
                  <w:rPr>
                    <w:rFonts w:ascii="Cambria Math" w:hAnsi="Cambria Math"/>
                    <w:i/>
                    <w:szCs w:val="24"/>
                  </w:rPr>
                </m:ctrlPr>
              </m:funcPr>
              <m:fName>
                <m:r>
                  <m:rPr>
                    <m:sty m:val="p"/>
                  </m:rPr>
                  <w:rPr>
                    <w:rFonts w:ascii="Cambria Math" w:hAnsi="Cambria Math"/>
                    <w:szCs w:val="24"/>
                  </w:rPr>
                  <m:t>max</m:t>
                </m:r>
              </m:fName>
              <m:e/>
            </m:func>
          </m:sub>
        </m:sSub>
      </m:oMath>
      <w:r w:rsidR="00106C6F">
        <w:rPr>
          <w:rFonts w:eastAsia="Calibri"/>
        </w:rPr>
        <w:t xml:space="preserve">– maksimalus mėnesinės kaupiamosios įmokos tarifas, apskaičiuotas pagal </w:t>
      </w:r>
      <w:r w:rsidR="00106C6F">
        <w:t>A</w:t>
      </w:r>
      <w:r w:rsidR="00106C6F">
        <w:rPr>
          <w:rFonts w:eastAsia="Calibri"/>
        </w:rPr>
        <w:t xml:space="preserve">prašo 7 punkte pateiktą formulę, atsižvelgus į tai, kad minimalioji mėnesinė alga 2025 m. – 1 038,00 Eur: </w:t>
      </w:r>
      <m:oMath>
        <m:sSub>
          <m:sSubPr>
            <m:ctrlPr>
              <w:rPr>
                <w:rFonts w:ascii="Cambria Math" w:hAnsi="Cambria Math"/>
                <w:i/>
                <w:szCs w:val="24"/>
              </w:rPr>
            </m:ctrlPr>
          </m:sSubPr>
          <m:e>
            <m:r>
              <w:rPr>
                <w:rFonts w:ascii="Cambria Math" w:hAnsi="Cambria Math"/>
                <w:szCs w:val="24"/>
              </w:rPr>
              <m:t>k</m:t>
            </m:r>
          </m:e>
          <m:sub>
            <m:func>
              <m:funcPr>
                <m:ctrlPr>
                  <w:rPr>
                    <w:rFonts w:ascii="Cambria Math" w:hAnsi="Cambria Math"/>
                    <w:i/>
                    <w:szCs w:val="24"/>
                  </w:rPr>
                </m:ctrlPr>
              </m:funcPr>
              <m:fName>
                <m:r>
                  <m:rPr>
                    <m:sty m:val="p"/>
                  </m:rPr>
                  <w:rPr>
                    <w:rFonts w:ascii="Cambria Math" w:hAnsi="Cambria Math"/>
                    <w:szCs w:val="24"/>
                  </w:rPr>
                  <m:t>max</m:t>
                </m:r>
              </m:fName>
              <m:e/>
            </m:func>
            <m:r>
              <m:rPr>
                <m:sty m:val="p"/>
              </m:rPr>
              <w:rPr>
                <w:rFonts w:ascii="Cambria Math" w:eastAsia="Calibri" w:hAnsi="Cambria Math"/>
              </w:rPr>
              <m:t>=</m:t>
            </m:r>
          </m:sub>
        </m:sSub>
        <m:r>
          <w:rPr>
            <w:rFonts w:ascii="Cambria Math" w:hAnsi="Cambria Math"/>
            <w:szCs w:val="24"/>
          </w:rPr>
          <m:t xml:space="preserve"> </m:t>
        </m:r>
      </m:oMath>
      <w:r w:rsidR="00106C6F">
        <w:rPr>
          <w:rFonts w:eastAsia="Calibri"/>
        </w:rPr>
        <w:t>1,1533 Eur/kv. m/mėn.</w:t>
      </w:r>
    </w:p>
    <w:p w14:paraId="67137668" w14:textId="77777777" w:rsidR="00C61547" w:rsidRDefault="00106C6F" w:rsidP="00106C6F">
      <w:pPr>
        <w:tabs>
          <w:tab w:val="left" w:pos="6237"/>
        </w:tabs>
        <w:jc w:val="center"/>
        <w:rPr>
          <w:lang w:eastAsia="lt-LT"/>
        </w:rPr>
      </w:pPr>
      <w:r>
        <w:t>––––––––––––––––––––</w:t>
      </w:r>
    </w:p>
    <w:sectPr w:rsidR="00C61547">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EC82" w14:textId="77777777" w:rsidR="00C61547" w:rsidRDefault="00106C6F">
      <w:pPr>
        <w:rPr>
          <w:lang w:eastAsia="lt-LT"/>
        </w:rPr>
      </w:pPr>
      <w:r>
        <w:rPr>
          <w:lang w:eastAsia="lt-LT"/>
        </w:rPr>
        <w:separator/>
      </w:r>
    </w:p>
  </w:endnote>
  <w:endnote w:type="continuationSeparator" w:id="0">
    <w:p w14:paraId="1CBA38F2" w14:textId="77777777" w:rsidR="00C61547" w:rsidRDefault="00106C6F">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228" w14:textId="77777777" w:rsidR="00C61547" w:rsidRDefault="00C61547">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9E3A" w14:textId="77777777" w:rsidR="00C61547" w:rsidRDefault="00C61547">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DAF4" w14:textId="77777777" w:rsidR="00C61547" w:rsidRDefault="00C61547">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40BC" w14:textId="77777777" w:rsidR="00C61547" w:rsidRDefault="00106C6F">
      <w:pPr>
        <w:rPr>
          <w:lang w:eastAsia="lt-LT"/>
        </w:rPr>
      </w:pPr>
      <w:r>
        <w:rPr>
          <w:lang w:eastAsia="lt-LT"/>
        </w:rPr>
        <w:separator/>
      </w:r>
    </w:p>
  </w:footnote>
  <w:footnote w:type="continuationSeparator" w:id="0">
    <w:p w14:paraId="436BF6D1" w14:textId="77777777" w:rsidR="00C61547" w:rsidRDefault="00106C6F">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B2D5" w14:textId="77777777" w:rsidR="00C61547" w:rsidRDefault="00106C6F">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591C615B" w14:textId="77777777" w:rsidR="00C61547" w:rsidRDefault="00C61547">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B212" w14:textId="77777777" w:rsidR="00C61547" w:rsidRDefault="00106C6F">
    <w:pPr>
      <w:tabs>
        <w:tab w:val="center" w:pos="4153"/>
        <w:tab w:val="right" w:pos="8306"/>
      </w:tabs>
      <w:jc w:val="center"/>
      <w:rPr>
        <w:lang w:eastAsia="lt-LT"/>
      </w:rPr>
    </w:pPr>
    <w:r>
      <w:rPr>
        <w:lang w:eastAsia="lt-LT"/>
      </w:rPr>
      <w:fldChar w:fldCharType="begin"/>
    </w:r>
    <w:r>
      <w:rPr>
        <w:lang w:eastAsia="lt-LT"/>
      </w:rPr>
      <w:instrText>PAGE   \* MERGEFORMAT</w:instrText>
    </w:r>
    <w:r>
      <w:rPr>
        <w:lang w:eastAsia="lt-LT"/>
      </w:rPr>
      <w:fldChar w:fldCharType="separate"/>
    </w:r>
    <w:r>
      <w:rPr>
        <w:noProof/>
        <w:lang w:eastAsia="lt-LT"/>
      </w:rPr>
      <w:t>2</w:t>
    </w:r>
    <w:r>
      <w:rPr>
        <w:lang w:eastAsia="lt-LT"/>
      </w:rPr>
      <w:fldChar w:fldCharType="end"/>
    </w:r>
  </w:p>
  <w:p w14:paraId="33A1322F" w14:textId="77777777" w:rsidR="00C61547" w:rsidRDefault="00C61547">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FEF0" w14:textId="77777777" w:rsidR="00C61547" w:rsidRDefault="00C61547">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E7"/>
    <w:rsid w:val="00106C6F"/>
    <w:rsid w:val="0018589E"/>
    <w:rsid w:val="004C66E7"/>
    <w:rsid w:val="004D491F"/>
    <w:rsid w:val="00545C0F"/>
    <w:rsid w:val="00913BB2"/>
    <w:rsid w:val="00C61547"/>
    <w:rsid w:val="00F138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17A998"/>
  <w15:docId w15:val="{DA7D6EC7-070F-4C91-AC1B-2BBE32C5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21054045">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18003882">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285973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4b993aa-f611-4e63-b03f-7248204b81a5}" enabled="0" method="" siteId="{34b993aa-f611-4e63-b03f-7248204b81a5}" removed="1"/>
</clbl:labelList>
</file>

<file path=docProps/app.xml><?xml version="1.0" encoding="utf-8"?>
<Properties xmlns="http://schemas.openxmlformats.org/officeDocument/2006/extended-properties" xmlns:vt="http://schemas.openxmlformats.org/officeDocument/2006/docPropsVTypes">
  <Template>Normal</Template>
  <TotalTime>20</TotalTime>
  <Pages>9</Pages>
  <Words>2307</Words>
  <Characters>16748</Characters>
  <Application>Microsoft Office Word</Application>
  <DocSecurity>0</DocSecurity>
  <Lines>139</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19017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Darbas</cp:lastModifiedBy>
  <cp:revision>4</cp:revision>
  <cp:lastPrinted>2019-09-30T12:12:00Z</cp:lastPrinted>
  <dcterms:created xsi:type="dcterms:W3CDTF">2025-07-29T12:15:00Z</dcterms:created>
  <dcterms:modified xsi:type="dcterms:W3CDTF">2025-08-01T05:52:00Z</dcterms:modified>
</cp:coreProperties>
</file>